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l603vs31zuwe" w:id="0"/>
      <w:bookmarkEnd w:id="0"/>
      <w:r w:rsidDel="00000000" w:rsidR="00000000" w:rsidRPr="00000000">
        <w:rPr>
          <w:rtl w:val="0"/>
        </w:rPr>
        <w:t xml:space="preserve">ПР1. РАЗЛОЖЕНИЕ БИЗНЕСА И ДИАГНОЗ ИТ-ФУНКЦИИ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Компания: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ПАО «НК «Роснефть»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КРАТКИЙ ПАСПОРТ</w:t>
      </w:r>
    </w:p>
    <w:p w:rsidR="00000000" w:rsidDel="00000000" w:rsidP="00000000" w:rsidRDefault="00000000" w:rsidRPr="00000000" w14:paraId="00000005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БИЗНЕС. ПАО «НК «Роснефть» — вертикально интегрированная нефтегазовая компания полного цикла: разведка и добыча → переработка → нефтехимия → сбыт нефтепродуктов. Отрасль — нефтегазовая промышленность (ТЭК).</w:t>
      </w:r>
    </w:p>
    <w:p w:rsidR="00000000" w:rsidDel="00000000" w:rsidP="00000000" w:rsidRDefault="00000000" w:rsidRPr="00000000" w14:paraId="00000006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МАСШТАБ. Выручка 2023 — 10 876 млрд ₽ (МСФО, +7,5%); eBITDA — 2 687 млрд ₽. Численность — более 350 000 сотрудников. Активы: 13 крупных НПЗ, 100+ месторождений, более 3 000 АЗС. Крупнейший акционер — «Роснефтегаз» (государственный пакет).</w:t>
      </w:r>
    </w:p>
    <w:p w:rsidR="00000000" w:rsidDel="00000000" w:rsidP="00000000" w:rsidRDefault="00000000" w:rsidRPr="00000000" w14:paraId="00000007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НАПРАВЛЕНИЯ. «Разведка и добыча», «Переработка», «Сбыт», «Газовый бизнес». Функционально: НИИ (РН-БашНИПИнефть, РН-УфаНИПИнефть) и ИТ-кластер («Сибинтек», ЕЦПК).</w:t>
      </w:r>
    </w:p>
    <w:p w:rsidR="00000000" w:rsidDel="00000000" w:rsidP="00000000" w:rsidRDefault="00000000" w:rsidRPr="00000000" w14:paraId="00000008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ИТ-ФУНКЦИЯ. Централизованная стратегия + внутренний интегратор «Сибинтек» + НИИ для R&amp;D. ИТ-инвестиции — более 40 млрд ₽ за три года; эффект цифровизации — более 100 млрд ₽/год (2026). 24 собственных программных продукта, 16 в промышленной эксплуатации. </w:t>
      </w:r>
    </w:p>
    <w:p w:rsidR="00000000" w:rsidDel="00000000" w:rsidP="00000000" w:rsidRDefault="00000000" w:rsidRPr="00000000" w14:paraId="00000009">
      <w:pPr>
        <w:spacing w:after="60" w:before="1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ОГРАНИЧЕНИЯ. Только открытые данные. Численность ИТ-специалистов, метрики ИБ, партнeры по ИБ и количество ЦОД публично не раскрыты.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80" w:lineRule="auto"/>
        <w:rPr/>
      </w:pPr>
      <w:bookmarkStart w:colFirst="0" w:colLast="0" w:name="_3i1q8at3p5n3" w:id="1"/>
      <w:bookmarkEnd w:id="1"/>
      <w:r w:rsidDel="00000000" w:rsidR="00000000" w:rsidRPr="00000000">
        <w:rPr>
          <w:rtl w:val="0"/>
        </w:rPr>
        <w:t xml:space="preserve">1. БИЗНЕС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ПАО «НК «Роснефть» — российская вертикально интегрированная (контроль нескольких этапов создания продукта)нефтегазовая компания.</w:t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Основная деятельность: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  <w:t xml:space="preserve">разведка и добыча нефти и газа, переработка углеводородного сырья, нефтехимия, сбыт нефтепродуктов. Компания занимает первое место в России по объeму добычи нефти.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Управляющая структура: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Корпоративный центр - Москва;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Производственные активы - регионы России;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8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Крупнейший акционер — «Роснефтегаз» (государственный пакет).</w:t>
      </w:r>
    </w:p>
    <w:p w:rsidR="00000000" w:rsidDel="00000000" w:rsidP="00000000" w:rsidRDefault="00000000" w:rsidRPr="00000000" w14:paraId="00000012">
      <w:pPr>
        <w:spacing w:after="8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Отрасль: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нефтегазовая промышленность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Подотрасли: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разведка и добыча (upstream), переработка и нефтехимия (downstream), сбыт нефтепродуктов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80" w:lineRule="auto"/>
        <w:rPr/>
      </w:pPr>
      <w:bookmarkStart w:colFirst="0" w:colLast="0" w:name="_nsx3vdxil9nj" w:id="2"/>
      <w:bookmarkEnd w:id="2"/>
      <w:r w:rsidDel="00000000" w:rsidR="00000000" w:rsidRPr="00000000">
        <w:rPr>
          <w:rtl w:val="0"/>
        </w:rPr>
        <w:t xml:space="preserve">2. НАПРАВЛЕНИЯ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mcgc2q4ku60o" w:id="3"/>
      <w:bookmarkEnd w:id="3"/>
      <w:r w:rsidDel="00000000" w:rsidR="00000000" w:rsidRPr="00000000">
        <w:rPr>
          <w:rtl w:val="0"/>
        </w:rPr>
        <w:t xml:space="preserve">Операционные направления</w:t>
      </w:r>
    </w:p>
    <w:tbl>
      <w:tblPr>
        <w:tblStyle w:val="Table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Ключевые активы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Доля в выручке</w:t>
            </w:r>
          </w:p>
        </w:tc>
      </w:tr>
      <w:tr>
        <w:trPr>
          <w:cantSplit w:val="0"/>
          <w:tblHeader w:val="1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Разведка и добыча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Геологоразведка, бурение, эксплуатация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100+ месторождений, тюменская группа, шельф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Основная (upstream)</w:t>
            </w:r>
          </w:p>
        </w:tc>
      </w:tr>
      <w:tr>
        <w:trPr>
          <w:cantSplit w:val="0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Переработка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НПЗ, нефтехимические комплексы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13 крупных НПЗ в России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Значимая (downstream)</w:t>
            </w:r>
          </w:p>
        </w:tc>
      </w:tr>
      <w:tr>
        <w:trPr>
          <w:cantSplit w:val="0"/>
          <w:tblHeader w:val="1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Сбыт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Розничная сеть АЗС, опт, экспорт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&gt;3 000 АЗС («Роснефть», Bashneft)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~15% (B2C розница)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Газовый бизнес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Добыча, переработка, СПГ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Дальневосточный газохимический кластер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Растущая доля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180" w:lineRule="auto"/>
        <w:rPr/>
      </w:pPr>
      <w:bookmarkStart w:colFirst="0" w:colLast="0" w:name="_lqxbk4e1f2qs" w:id="4"/>
      <w:bookmarkEnd w:id="4"/>
      <w:r w:rsidDel="00000000" w:rsidR="00000000" w:rsidRPr="00000000">
        <w:rPr>
          <w:rtl w:val="0"/>
        </w:rPr>
        <w:t xml:space="preserve">Функциональные направления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Научно-проектный блок: РН-БашНИПИнефть, РН-УфаНИПИнефть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геомоделирование, симуляция, R&amp;D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ИТ-кластер: «Сибинтек», ЕЦПК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разработка и поддержка цифровых решений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Логистика: трубопроводы, ж/д, морской транспор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80" w:lineRule="auto"/>
        <w:rPr/>
      </w:pPr>
      <w:bookmarkStart w:colFirst="0" w:colLast="0" w:name="_mm3iyccmquu5" w:id="5"/>
      <w:bookmarkEnd w:id="5"/>
      <w:r w:rsidDel="00000000" w:rsidR="00000000" w:rsidRPr="00000000">
        <w:rPr>
          <w:rtl w:val="0"/>
        </w:rPr>
        <w:t xml:space="preserve">3. КЛИЕНТЫ И КАНАЛЫ</w:t>
      </w:r>
    </w:p>
    <w:tbl>
      <w:tblPr>
        <w:tblStyle w:val="Table2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Тип клиента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Канал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Что покупает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Как подтверждено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Промышленные предприятия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Прямой сбыт, долгосрочные контракты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Нефть, газ, нефтепродукты как сырьe и топливо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сайт, отчeтность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Авиакомпании и судоходство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Оптовые контракты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Авиакеросин, судовое топливо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Розничные потребители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Сеть АЗС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Бензин, дизель, сопутствующие товары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Экспортные покупатели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Международные контракты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Нефть, нефтепродукты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Отчeтность по МСФО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Государство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Госконтракты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Топливо для государственных нужд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Госзакупки (goszakupki.gov.ru)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after="80" w:before="180" w:lineRule="auto"/>
        <w:rPr/>
      </w:pPr>
      <w:bookmarkStart w:colFirst="0" w:colLast="0" w:name="_fu2m0gcc7wx1" w:id="6"/>
      <w:bookmarkEnd w:id="6"/>
      <w:r w:rsidDel="00000000" w:rsidR="00000000" w:rsidRPr="00000000">
        <w:rPr>
          <w:rtl w:val="0"/>
        </w:rPr>
        <w:t xml:space="preserve">Ключевые партнeры по ИТ и цифровизации</w:t>
      </w:r>
    </w:p>
    <w:tbl>
      <w:tblPr>
        <w:tblStyle w:val="Table3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Партнeр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«Сибинтек»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Внутренний ИТ-интегратор Группы: ЕЦПК, «Цифровое месторождение», ГИС-РН, поддержка SAP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eRP-решения: &gt;80 предприятий, ~60 000 пользователей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«1С»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Учeт и управление: &gt;300 проектов, 250 предприятий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eSRI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Геоинформационные системы - замещены собственной ГИС-РН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компания зарабатывает преимущественно на оптовых продажах и экспорте. Розница (АЗС) — важный, но не основной источник выручки. Это означает, что ключевые ИТ-решения должны поддерживать добычу и переработку, а не только клиентские сервисы.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80" w:before="280" w:lineRule="auto"/>
        <w:rPr/>
      </w:pPr>
      <w:bookmarkStart w:colFirst="0" w:colLast="0" w:name="_2mqzmoda526p" w:id="7"/>
      <w:bookmarkEnd w:id="7"/>
      <w:r w:rsidDel="00000000" w:rsidR="00000000" w:rsidRPr="00000000">
        <w:rPr>
          <w:rtl w:val="0"/>
        </w:rPr>
        <w:t xml:space="preserve">4. КЛЮЧЕВЫЕ ПРОЦЕССЫ</w:t>
      </w:r>
    </w:p>
    <w:p w:rsidR="00000000" w:rsidDel="00000000" w:rsidP="00000000" w:rsidRDefault="00000000" w:rsidRPr="00000000" w14:paraId="00000056">
      <w:pPr>
        <w:pStyle w:val="Heading3"/>
        <w:spacing w:after="80" w:before="180" w:lineRule="auto"/>
        <w:rPr/>
      </w:pPr>
      <w:bookmarkStart w:colFirst="0" w:colLast="0" w:name="_xvb0kw1704v" w:id="8"/>
      <w:bookmarkEnd w:id="8"/>
      <w:r w:rsidDel="00000000" w:rsidR="00000000" w:rsidRPr="00000000">
        <w:rPr>
          <w:rtl w:val="0"/>
        </w:rPr>
        <w:t xml:space="preserve">Добыча (upstream)</w:t>
      </w:r>
    </w:p>
    <w:tbl>
      <w:tblPr>
        <w:tblStyle w:val="Table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ИТ-системы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Охват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Изучает недра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Сейсморазведка, бурение поисковых скважин, оценка запасов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Геосимуляция, ГИС-РН, цифровые двойники пластов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Все месторождения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Бурит и обустраивает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Бурение эксплуатационных скважин, монтаж оборудования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Системы проектирования, телеметрия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100% буровых станков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Добывает и контролирует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Эксплуатация скважин (ЭЦН, ШГН), сбор продукции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«Мехфонд» (&gt;50 000 скважин), «Цифровое месторождение»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96% скважин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Собирает и готовит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ЦПСН, УПН, промысловые трубопроводы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«РН-СМТ» (&gt;70 000 км), АСУ ТП, MeS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85% параметров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after="80" w:before="180" w:lineRule="auto"/>
        <w:rPr/>
      </w:pPr>
      <w:bookmarkStart w:colFirst="0" w:colLast="0" w:name="_upnamm2hz7c0" w:id="9"/>
      <w:bookmarkEnd w:id="9"/>
      <w:r w:rsidDel="00000000" w:rsidR="00000000" w:rsidRPr="00000000">
        <w:rPr>
          <w:rtl w:val="0"/>
        </w:rPr>
        <w:t xml:space="preserve">Переработка (downstream)</w:t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ИТ-системы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Охват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Перерабатывает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НПЗ: первичная/вторичная переработка, компаундирование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MeS, АСУ ТП (SCADA, ПЛК, DCS)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98% установок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spacing w:after="80" w:before="180" w:lineRule="auto"/>
        <w:rPr/>
      </w:pPr>
      <w:bookmarkStart w:colFirst="0" w:colLast="0" w:name="_8401qpql1v3q" w:id="10"/>
      <w:bookmarkEnd w:id="10"/>
      <w:r w:rsidDel="00000000" w:rsidR="00000000" w:rsidRPr="00000000">
        <w:rPr>
          <w:rtl w:val="0"/>
        </w:rPr>
        <w:t xml:space="preserve">Сбыт и финансы</w:t>
      </w:r>
    </w:p>
    <w:tbl>
      <w:tblPr>
        <w:tblStyle w:val="Table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ИТ-системы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Охват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Отгружает и везeт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Логистика: трубопроводы, ж/д, авто, море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Логистические системы, планирование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Весь сбыт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Продаeт и закрывает деньгами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Опт, розница, экспорт; расчeт дебиторки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 eRP, «1С:eRP», корпоративный портал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80+ предприятий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spacing w:after="80" w:before="180" w:lineRule="auto"/>
        <w:rPr/>
      </w:pPr>
      <w:bookmarkStart w:colFirst="0" w:colLast="0" w:name="_pf14y4afisrl" w:id="11"/>
      <w:bookmarkEnd w:id="11"/>
      <w:r w:rsidDel="00000000" w:rsidR="00000000" w:rsidRPr="00000000">
        <w:rPr>
          <w:rtl w:val="0"/>
        </w:rPr>
        <w:t xml:space="preserve">Степень автоматизации процессов (2026)</w:t>
      </w:r>
    </w:p>
    <w:tbl>
      <w:tblPr>
        <w:tblStyle w:val="Table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Охват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Технологические параметры оцифрованы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85%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Буровые станки (телеметрия)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Скважинный фонд (мониторинг в реальном времени)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96%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Установки НПЗ (автоматизация)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98%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Счeтчики электроэнергии (удалeнное считывание)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62%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почти вся производственная цепочка оцифрована, ИТ-системы активно задействованы в управлении процессами. 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before="280" w:lineRule="auto"/>
        <w:rPr/>
      </w:pPr>
      <w:bookmarkStart w:colFirst="0" w:colLast="0" w:name="_uq8alckg1j2y" w:id="12"/>
      <w:bookmarkEnd w:id="12"/>
      <w:r w:rsidDel="00000000" w:rsidR="00000000" w:rsidRPr="00000000">
        <w:rPr>
          <w:rtl w:val="0"/>
        </w:rPr>
        <w:t xml:space="preserve">5. ИТ-ФУНКЦИЯ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xw6x8fxqyadf" w:id="13"/>
      <w:bookmarkEnd w:id="13"/>
      <w:r w:rsidDel="00000000" w:rsidR="00000000" w:rsidRPr="00000000">
        <w:rPr>
          <w:rtl w:val="0"/>
        </w:rPr>
        <w:t xml:space="preserve">Организационная структура</w:t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Подразделение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Модель управления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«Сибинтек»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Системный ИТ-интегратор Группы: ЕЦПК, «Цифровое месторождение», ГИС-РН, поддержка SAP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Исполнение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Департамент цифровых технологий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Стратегия, координация проектов, управление цифровой трансформацией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Стратегия и архитектура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РН-БашНИПИнефть, РН-УфаНИПИнефть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R&amp;D, геомоделирование, симуляция, цифровые решения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Инновации и R&amp;D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Внутренние ИТ-службы предприятий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Локальная поддержка, АСУ ТП, производственные системы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Эксплуатация на местах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Допущение A2: численность ИТ-специалистов публично не раскрыта</w:t>
        <w:br w:type="textWrapping"/>
        <w:t xml:space="preserve">Оценить можно на основании данных других ПАО сектора</w:t>
      </w:r>
    </w:p>
    <w:p w:rsidR="00000000" w:rsidDel="00000000" w:rsidP="00000000" w:rsidRDefault="00000000" w:rsidRPr="00000000" w14:paraId="000000B4">
      <w:pPr>
        <w:pStyle w:val="Heading3"/>
        <w:spacing w:before="180" w:lineRule="auto"/>
        <w:rPr/>
      </w:pPr>
      <w:bookmarkStart w:colFirst="0" w:colLast="0" w:name="_4n82gk8209fx" w:id="14"/>
      <w:bookmarkEnd w:id="14"/>
      <w:r w:rsidDel="00000000" w:rsidR="00000000" w:rsidRPr="00000000">
        <w:rPr>
          <w:rtl w:val="0"/>
        </w:rPr>
        <w:t xml:space="preserve">Каталог ИТ-систем</w:t>
      </w:r>
    </w:p>
    <w:p w:rsidR="00000000" w:rsidDel="00000000" w:rsidP="00000000" w:rsidRDefault="00000000" w:rsidRPr="00000000" w14:paraId="000000B5">
      <w:pPr>
        <w:pStyle w:val="Heading4"/>
        <w:spacing w:after="80" w:lineRule="auto"/>
        <w:rPr/>
      </w:pPr>
      <w:bookmarkStart w:colFirst="0" w:colLast="0" w:name="_e0jn32ty95ev" w:id="15"/>
      <w:bookmarkEnd w:id="15"/>
      <w:r w:rsidDel="00000000" w:rsidR="00000000" w:rsidRPr="00000000">
        <w:rPr>
          <w:rtl w:val="0"/>
        </w:rPr>
        <w:t xml:space="preserve">Корпоративные системы управления</w:t>
      </w:r>
    </w:p>
    <w:tbl>
      <w:tblPr>
        <w:tblStyle w:val="Table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Охват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 eRP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Финансы, ОС, МТР, персонал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&gt;80 предприятий, ~60 000 пользователей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«1С:eRP»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Учeт и управление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250 предприятий, &gt;300 проектов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Корпоративный портал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Коммуникация, сервисы для сотрудников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Все сотрудники</w:t>
            </w:r>
          </w:p>
        </w:tc>
      </w:tr>
    </w:tbl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d4hhdztx7m17" w:id="16"/>
      <w:bookmarkEnd w:id="16"/>
      <w:r w:rsidDel="00000000" w:rsidR="00000000" w:rsidRPr="00000000">
        <w:rPr>
          <w:rtl w:val="0"/>
        </w:rPr>
        <w:t xml:space="preserve">Производственные системы</w:t>
      </w:r>
    </w:p>
    <w:tbl>
      <w:tblPr>
        <w:tblStyle w:val="Table1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Ключевые функции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«Цифровое месторождение»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Платформа управления добычей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Геомоделирование, планирование, мониторинг скважин, предиктивная аналитика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«Мехфонд»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Мониторинг механизированного фонда скважин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Телеметрия ЭЦН/ШГН, контроль режимов, диагностика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«РН-СМТ»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Мониторинг промысловых трубопроводов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Давление, температура, расход, обнаружение утечек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Управление производством на НПЗ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Планирование операций, трекинг партий, контроль качества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АСУ ТП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Контроль технологических процессов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SCADA, ПЛК, DCS на НПЗ и месторождениях</w:t>
            </w:r>
          </w:p>
        </w:tc>
      </w:tr>
    </w:tbl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yvr0nmlgm42m" w:id="17"/>
      <w:bookmarkEnd w:id="17"/>
      <w:r w:rsidDel="00000000" w:rsidR="00000000" w:rsidRPr="00000000">
        <w:rPr>
          <w:rtl w:val="0"/>
        </w:rPr>
        <w:t xml:space="preserve">Специализированные системы</w:t>
      </w:r>
    </w:p>
    <w:tbl>
      <w:tblPr>
        <w:tblStyle w:val="Table11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Система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ГИС-РН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Геоинформационная система: картография, пространственный анализ (замена ArcGIS)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PLM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Управление жизненным циклом изделий, проектирование объектов добычи и переработки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Цифровые двойники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Моделирование месторождений и пластов, прогнозирование добычи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Big Data платформы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Компонент ЕЦПК: хранение и анализ производственных и корпоративных данных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80" w:before="180" w:lineRule="auto"/>
        <w:rPr/>
      </w:pPr>
      <w:bookmarkStart w:colFirst="0" w:colLast="0" w:name="_pendf281lhxn" w:id="18"/>
      <w:bookmarkEnd w:id="18"/>
      <w:r w:rsidDel="00000000" w:rsidR="00000000" w:rsidRPr="00000000">
        <w:rPr>
          <w:rtl w:val="0"/>
        </w:rPr>
        <w:t xml:space="preserve">Единая цифровая платформа компании (ЕЦПК)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Запущена: лето 2024, опытно-промышленная эксплуатация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Архитектура: PaaS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облачная среда для разработки, тестирования и разв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ртывания приложений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Компоненты: базы данных, брокеры сообщений, CI/CD, хранилища данных, сервисы BI, средства для ML и ИИ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24 собственных программных продукта, из них 16 в промышленной эксплуатации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Три столпа цифровой стратегии: единые платформенные решения, сквозная унификация ИТ-систем, прямое внедрение ИИ</w:t>
      </w:r>
    </w:p>
    <w:p w:rsidR="00000000" w:rsidDel="00000000" w:rsidP="00000000" w:rsidRDefault="00000000" w:rsidRPr="00000000" w14:paraId="000000E7">
      <w:pPr>
        <w:pStyle w:val="Heading3"/>
        <w:spacing w:before="180" w:lineRule="auto"/>
        <w:rPr/>
      </w:pPr>
      <w:bookmarkStart w:colFirst="0" w:colLast="0" w:name="_rlzhzjs2hvsr" w:id="19"/>
      <w:bookmarkEnd w:id="19"/>
      <w:r w:rsidDel="00000000" w:rsidR="00000000" w:rsidRPr="00000000">
        <w:rPr>
          <w:rtl w:val="0"/>
        </w:rPr>
        <w:t xml:space="preserve">Инвестиции в ИТ и финансовый эффект</w:t>
      </w:r>
    </w:p>
    <w:tbl>
      <w:tblPr>
        <w:tblStyle w:val="Table1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Инвестиции в цифровизацию и ИИ (3 года)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&gt;40 млрд ₽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Финансовый эффект цифровизации (2026)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&gt;100 млрд ₽/год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Финансовый эффект за 4 мес. 2026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44 млрд ₽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Снижение рутинной нагрузки (LLM-ассистент)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70–80%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(тюменский НЦ)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Эффект / Инвестиции (ROI, грубая оценка)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&gt;200% годовых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Расчeт: 100/40×3 = 7,5x за 3 года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spacing w:after="80" w:before="180" w:lineRule="auto"/>
        <w:rPr/>
      </w:pPr>
      <w:bookmarkStart w:colFirst="0" w:colLast="0" w:name="_qt2z7afxwitr" w:id="20"/>
      <w:bookmarkEnd w:id="20"/>
      <w:r w:rsidDel="00000000" w:rsidR="00000000" w:rsidRPr="00000000">
        <w:rPr>
          <w:rtl w:val="0"/>
        </w:rPr>
        <w:t xml:space="preserve">Импортозамещение</w:t>
      </w:r>
    </w:p>
    <w:tbl>
      <w:tblPr>
        <w:tblStyle w:val="Table1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Текущее состояние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Зона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Миграция с Oracle на PostgreSQL-based решения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ОС серверов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Переход на РЕД ОС, Astra Linux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Виртуализация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Замена VMware на zVirt, Virtuozzo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ГИС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Собственная ГИС-РН вместо ArcGIS — завершена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СЗИ для КИИ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100% отечественные (Kaspersky и др.)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eRP (SAP)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Критическая зависимость сохраняется; параллельно развивается «1С:eRP»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ависимость от SAP охватывает 80 предприятий и 60 000 пользователей. Полный переход на российские альтернативы займeт 2–3 года и потребует значительных инвестиций. В случае санкционного отключения сервисной поддержки SAP затраты на экстренную миграцию будут кратно выше плановых.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80" w:lineRule="auto"/>
        <w:rPr/>
      </w:pPr>
      <w:bookmarkStart w:colFirst="0" w:colLast="0" w:name="_va42of73dhff" w:id="21"/>
      <w:bookmarkEnd w:id="21"/>
      <w:r w:rsidDel="00000000" w:rsidR="00000000" w:rsidRPr="00000000">
        <w:rPr>
          <w:rtl w:val="0"/>
        </w:rPr>
        <w:t xml:space="preserve">6. СВЯЗЬ И БЕЗОПАСНОСТЬ</w:t>
      </w:r>
    </w:p>
    <w:p w:rsidR="00000000" w:rsidDel="00000000" w:rsidP="00000000" w:rsidRDefault="00000000" w:rsidRPr="00000000" w14:paraId="00000114">
      <w:pPr>
        <w:pStyle w:val="Heading3"/>
        <w:spacing w:after="80" w:before="180" w:lineRule="auto"/>
        <w:rPr/>
      </w:pPr>
      <w:bookmarkStart w:colFirst="0" w:colLast="0" w:name="_tt867tie4owl" w:id="22"/>
      <w:bookmarkEnd w:id="22"/>
      <w:r w:rsidDel="00000000" w:rsidR="00000000" w:rsidRPr="00000000">
        <w:rPr>
          <w:rtl w:val="0"/>
        </w:rPr>
        <w:t xml:space="preserve">Организация кибербезопасности</w:t>
      </w:r>
    </w:p>
    <w:tbl>
      <w:tblPr>
        <w:tblStyle w:val="Table1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SOC (Security Operations Center)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Мониторинг и реагирование на инциденты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 функционирует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CISO / Департамент ИБ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Политики ИБ, управление рисками, соответствие 187-ФЗ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 в структуре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Распределeнные службы ИБ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Защита на предприятиях, аттестация АСУ ТП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 на объектах КИИ</w:t>
            </w:r>
          </w:p>
        </w:tc>
      </w:tr>
    </w:tbl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80" w:before="180" w:lineRule="auto"/>
        <w:rPr/>
      </w:pPr>
      <w:bookmarkStart w:colFirst="0" w:colLast="0" w:name="_q9e30zfjj9dl" w:id="23"/>
      <w:bookmarkEnd w:id="23"/>
      <w:r w:rsidDel="00000000" w:rsidR="00000000" w:rsidRPr="00000000">
        <w:rPr>
          <w:rtl w:val="0"/>
        </w:rPr>
        <w:t xml:space="preserve">Объекты КИИ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Категорирование: проведено для всех значимых объектов (месторождения, НПЗ, трубопроводы, ЦОД, центры управления)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ФСТЭК: аттестация АСУ ТП, 100% отечественные СЗИ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187-ФЗ «О безопасности критической информационной инфраструктуры»</w:t>
      </w:r>
    </w:p>
    <w:p w:rsidR="00000000" w:rsidDel="00000000" w:rsidP="00000000" w:rsidRDefault="00000000" w:rsidRPr="00000000" w14:paraId="00000126">
      <w:pPr>
        <w:pStyle w:val="Heading3"/>
        <w:spacing w:after="80" w:before="180" w:lineRule="auto"/>
        <w:rPr/>
      </w:pPr>
      <w:bookmarkStart w:colFirst="0" w:colLast="0" w:name="_8ekh7lap5rm" w:id="24"/>
      <w:bookmarkEnd w:id="24"/>
      <w:r w:rsidDel="00000000" w:rsidR="00000000" w:rsidRPr="00000000">
        <w:rPr>
          <w:rtl w:val="0"/>
        </w:rPr>
        <w:t xml:space="preserve">Инциденты и метрики ИБ</w:t>
      </w:r>
    </w:p>
    <w:tbl>
      <w:tblPr>
        <w:tblStyle w:val="Table1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Инцидент / метрика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Кибератака на германский филиал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Начало 2025 года; атака на внешний периметр, последствий для РФ-инфраструктуры не зафиксировано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Международные СМИ, начало 2025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Инциденты ИБ (количество)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Внутренние метрики не раскрыты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Аналог Татнефти: &gt;1 млн вредоносных писем/год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Стандарты сертификации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 заявлены явно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 аналогии с компаниями сопоставимого масштаба</w:t>
            </w:r>
          </w:p>
        </w:tc>
      </w:tr>
    </w:tbl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80" w:before="180" w:lineRule="auto"/>
        <w:rPr/>
      </w:pPr>
      <w:bookmarkStart w:colFirst="0" w:colLast="0" w:name="_mt0ch046w0dx" w:id="25"/>
      <w:bookmarkEnd w:id="25"/>
      <w:r w:rsidDel="00000000" w:rsidR="00000000" w:rsidRPr="00000000">
        <w:rPr>
          <w:rtl w:val="0"/>
        </w:rPr>
        <w:t xml:space="preserve">Корпоративные сети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Защищ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нные каналы между предприятиями, ЦОД и штаб-квартирой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VPN с многофакторной аутентификацией для удал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нного доступа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MDM-системы для корпоративных мобильных устройств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97" w:right="0" w:hanging="36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оличество ЦОД не раскрыто </w:t>
      </w:r>
    </w:p>
    <w:p w:rsidR="00000000" w:rsidDel="00000000" w:rsidP="00000000" w:rsidRDefault="00000000" w:rsidRPr="00000000" w14:paraId="00000139">
      <w:pPr>
        <w:pStyle w:val="Heading2"/>
        <w:spacing w:after="80" w:before="280" w:lineRule="auto"/>
        <w:rPr/>
      </w:pPr>
      <w:bookmarkStart w:colFirst="0" w:colLast="0" w:name="_t34n0pbb4bns" w:id="26"/>
      <w:bookmarkEnd w:id="26"/>
      <w:r w:rsidDel="00000000" w:rsidR="00000000" w:rsidRPr="00000000">
        <w:rPr>
          <w:rtl w:val="0"/>
        </w:rPr>
        <w:t xml:space="preserve">7. СОСТОЯНИЕ ИТ-ФУНКЦИИ</w:t>
      </w:r>
    </w:p>
    <w:p w:rsidR="00000000" w:rsidDel="00000000" w:rsidP="00000000" w:rsidRDefault="00000000" w:rsidRPr="00000000" w14:paraId="0000013A">
      <w:pPr>
        <w:spacing w:after="80" w:before="1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Состояние: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партнер бизнеса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Обоснование:</w:t>
      </w:r>
    </w:p>
    <w:p w:rsidR="00000000" w:rsidDel="00000000" w:rsidP="00000000" w:rsidRDefault="00000000" w:rsidRPr="00000000" w14:paraId="0000013C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Измеримый финансовый эффект в рублях. &gt;100 млрд ₽/год в 2026 году — компания публично называет эту цифру. При выручке 10 876 млрд ₽ эффект ИТ составляет около 0,9% выручки;</w:t>
      </w:r>
    </w:p>
    <w:p w:rsidR="00000000" w:rsidDel="00000000" w:rsidP="00000000" w:rsidRDefault="00000000" w:rsidRPr="00000000" w14:paraId="0000013D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Собственные программные продукты. 24 разработки, 16 в промышленной эксплуатации;</w:t>
      </w:r>
    </w:p>
    <w:p w:rsidR="00000000" w:rsidDel="00000000" w:rsidP="00000000" w:rsidRDefault="00000000" w:rsidRPr="00000000" w14:paraId="0000013E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3. ИТ встроена в стратегию на уровне топ-менеджмента. Три публично заявленных столпа цифровой стратегии: единые платформенные решения, сквозная унификация, прямое внедрение ИИ;</w:t>
      </w:r>
    </w:p>
    <w:p w:rsidR="00000000" w:rsidDel="00000000" w:rsidP="00000000" w:rsidRDefault="00000000" w:rsidRPr="00000000" w14:paraId="0000013F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4. Высокая степень оцифровки производства. 85% параметров, 100% буровых станков, 96% скважин, 98% установок НПЗ;</w:t>
      </w:r>
    </w:p>
    <w:p w:rsidR="00000000" w:rsidDel="00000000" w:rsidP="00000000" w:rsidRDefault="00000000" w:rsidRPr="00000000" w14:paraId="00000140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5. Единая среда для разработки и внедрения(ЕЦПК), что снижает время вывода новых решений и создаeт мультипликативный эффект от каждой новой инициативы;</w:t>
      </w:r>
    </w:p>
    <w:p w:rsidR="00000000" w:rsidDel="00000000" w:rsidP="00000000" w:rsidRDefault="00000000" w:rsidRPr="00000000" w14:paraId="00000141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6. Вертикальная интеграция ИТ-компетенций. «Сибинтек» как внутренний интегратор + НИИ для R&amp;D создают полный цикл от исследований до промышленного внедрения внутри группы;</w:t>
      </w:r>
    </w:p>
    <w:p w:rsidR="00000000" w:rsidDel="00000000" w:rsidP="00000000" w:rsidRDefault="00000000" w:rsidRPr="00000000" w14:paraId="00000142">
      <w:pPr>
        <w:spacing w:after="40" w:before="60" w:lineRule="auto"/>
        <w:ind w:left="283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7. Серьезные финансовые вливания: &gt;40 млрд ₽ за три года — уровень, сопоставимый с ведущими мировыми нефтегазовыми компаниями по абсолютным тратам на цифровизацию.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80" w:before="180" w:lineRule="auto"/>
        <w:rPr/>
      </w:pPr>
      <w:bookmarkStart w:colFirst="0" w:colLast="0" w:name="_uw69ejugk6xb" w:id="27"/>
      <w:bookmarkEnd w:id="27"/>
      <w:r w:rsidDel="00000000" w:rsidR="00000000" w:rsidRPr="00000000">
        <w:rPr>
          <w:rtl w:val="0"/>
        </w:rPr>
        <w:t xml:space="preserve">Зоны развития (что удерживает от эталонного партнeра)</w:t>
      </w:r>
    </w:p>
    <w:tbl>
      <w:tblPr>
        <w:tblStyle w:val="Table1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Зона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Проблема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Влияние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 Импортозамещение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 остаeтся критической зависимостью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Экстренная миграция при санкционном отключении обойдeтся кратно дороже плановой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 Метрики ИБ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Инциденты и KPI защищeнности не раскрываются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Затруднена внешняя оценка риска; потенциально влияет на стоимость страхования и капитала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 ЕЦПК (зрелость)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Запущена в 2024, полный эффект — через несколько лет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 полного развeртывания часть инвестиций (&gt;40 млрд руб.) не даeт отдачи в полном объeме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 ИТ-кадры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Дефицит специалистов по ИИ, ML, кибербезопасности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Конкуренция с IT-компаниями за кадры; риск замедления темпа цифровизации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80" w:before="280" w:lineRule="auto"/>
        <w:rPr/>
      </w:pPr>
      <w:bookmarkStart w:colFirst="0" w:colLast="0" w:name="_rai9axc0t9qa" w:id="28"/>
      <w:bookmarkEnd w:id="28"/>
      <w:r w:rsidDel="00000000" w:rsidR="00000000" w:rsidRPr="00000000">
        <w:rPr>
          <w:rtl w:val="0"/>
        </w:rPr>
        <w:t xml:space="preserve">8. СВОДНАЯ ТАБЛИЦА ЗОН 🟢🟡🔴</w:t>
      </w:r>
    </w:p>
    <w:tbl>
      <w:tblPr>
        <w:tblStyle w:val="Table17"/>
        <w:tblW w:w="9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Блок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Зона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Признак (одна строка)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Добыча (разведка, бурение, эксплуатация)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100% буровых станков и 96% скважин под телеметрией; «Цифровое месторождение» в промышленной эксплуатации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данные Роснефти 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Переработка (НПЗ)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98% установок автоматизировано; MeS и АСУ ТП на всех 13 крупных НПЗ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данные Роснефти 2026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Сбыт (АЗС, логистика)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Сеть цифровизирована; мобильные приложения и программы лояльности работают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сайт rosneft.ru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Корпоративное управление (eRP, финансы, HR)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 охватывает 80 предприятий и 60 000 пользователей; «1С» — 250 предприятий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Данные по контрактам SAP/1С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Цифровые платформы (ЕЦПК, Big Data, ИИ)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Запущена лето 2024; полный эффект не реализован — признак сползания: пока только ОПЭ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Пресс-релиз Роснефти, 2024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Импортозамещение ИТ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SAP критически зависим; 38% счeтчиков без удалeнного считывания — незакрытые зоны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Публичные данные компании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Кибербезопасность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SOC функционирует, КИИ категорирована; германский инцидент 2025 без последствий для РФ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СМИ, начало 2025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ИТ-кадры и компетенции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🟡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«Сибинтек» и НИИ закрывают разработку; но дефицит ИИ/ML/ИБ специалистов — общеотраслевая проблема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Допущение A2 — рынок труда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R&amp;D и инновации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🟢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24 собственных продукта; LLM-ассистент снижает нагрузку на 70–80%; активные ИИ-программы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Итог: 🔴 красных зон нет. Компания демонстрирует высокий уровень цифровой зрелости. 🟡 жeлтые зоны - управляемые риски с известными сроками устранения (2025–2027).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80" w:before="280" w:lineRule="auto"/>
        <w:rPr/>
      </w:pPr>
      <w:bookmarkStart w:colFirst="0" w:colLast="0" w:name="_8f6h0y7tu4ul" w:id="29"/>
      <w:bookmarkEnd w:id="29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РЕЕСТР ДОПУЩЕНИЙ</w:t>
      </w:r>
    </w:p>
    <w:tbl>
      <w:tblPr>
        <w:tblStyle w:val="Table18"/>
        <w:tblW w:w="11385.0" w:type="dxa"/>
        <w:jc w:val="left"/>
        <w:tblInd w:w="-11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2430"/>
        <w:gridCol w:w="3060"/>
        <w:gridCol w:w="4560"/>
        <w:tblGridChange w:id="0">
          <w:tblGrid>
            <w:gridCol w:w="1335"/>
            <w:gridCol w:w="2430"/>
            <w:gridCol w:w="306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Метрика / информация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Откуда взята оценка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24"/>
                <w:szCs w:val="24"/>
                <w:rtl w:val="0"/>
              </w:rPr>
              <w:t xml:space="preserve">Что опровергает допущение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Д1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Доля B2G в выручке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Не выделена в отчeтности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Публикация сегментной разбивки в отчeте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Численность ИТ-специалистов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По аналогам: Газпром нефть ~6 000; оценка 3 000–5 000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Официальное раскрытие в HR-отчeте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Д3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Метрики ИБ (инциденты, заблокированные атаки)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Аналог Татнефти: &gt;1 млн писем/год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Публикация ИБ-отчeта компании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Количество ЦОД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Упоминание ЦОД «Сибинтек» (2017); оценка ≥2–3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Официальное раскрытие инфраструктуры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Д5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Бюджет на ИБ отдельно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Оценка 10–15% от ИТ-бюджета = ~1,5 млрд ₽/год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Выделение статьи в отчeтности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Сертификация ISO 27001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Типично для компаний масштаба Роснефти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Публикация сертификата или отказ от него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Д7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Охват SAP (модули)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Контракты 2015–2016; финансы, МТР, HR подтверждены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Актуальный список модулей от компании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Статус ЕЦПК (ОПЭ с 2024)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Официальный пресс-релиз, лето 2024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Переход в промышленную эксплуатацию</w:t>
            </w:r>
          </w:p>
        </w:tc>
      </w:tr>
      <w:tr>
        <w:trPr>
          <w:cantSplit w:val="0"/>
          <w:tblHeader w:val="0"/>
        </w:trPr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Д9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Эффект цифровизации &gt;100 млрд ₽/год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Публичное заявление руководства Роснефти</w:t>
            </w:r>
          </w:p>
        </w:tc>
        <w:tc>
          <w:tcPr>
            <w:shd w:fill="ebf0fa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Отсутствие подтверждения в финотчeтности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85% параметров, 100% буровых, 96% скважин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Официальные данные компании 2026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Публикация иных данных в отчeтности</w:t>
            </w:r>
          </w:p>
        </w:tc>
      </w:tr>
    </w:tbl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