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jc w:val="center"/>
        <w:rPr/>
      </w:pPr>
      <w:bookmarkStart w:colFirst="0" w:colLast="0" w:name="_k0rvmi55opvg" w:id="0"/>
      <w:bookmarkEnd w:id="0"/>
      <w:r w:rsidDel="00000000" w:rsidR="00000000" w:rsidRPr="00000000">
        <w:rPr>
          <w:rtl w:val="0"/>
        </w:rPr>
        <w:t xml:space="preserve">ПАСПОРТ ПРОЕКТА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Компания: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ПАО «НК «Роснефть»</w:t>
      </w:r>
      <w:r w:rsidDel="00000000" w:rsidR="00000000" w:rsidRPr="00000000">
        <w:rPr>
          <w:rtl w:val="0"/>
        </w:rPr>
      </w:r>
    </w:p>
    <w:tbl>
      <w:tblPr>
        <w:tblStyle w:val="Table1"/>
        <w:tblW w:w="118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145"/>
        <w:gridCol w:w="5895"/>
        <w:gridCol w:w="2850"/>
        <w:tblGridChange w:id="0">
          <w:tblGrid>
            <w:gridCol w:w="990"/>
            <w:gridCol w:w="2145"/>
            <w:gridCol w:w="5895"/>
            <w:gridCol w:w="285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Содержание</w:t>
            </w:r>
          </w:p>
        </w:tc>
        <w:tc>
          <w:tcPr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Подтверждение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Бизнес</w:t>
            </w:r>
          </w:p>
        </w:tc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ПАО «НК «Роснефть» — одна из крупнейших публичных вертикально-интегрированных нефтегазовых компаний (ВИНК) мира, занимающая лидирующие позиции в рейтинге крупнейших российских компаний по выручке</w:t>
            </w:r>
          </w:p>
        </w:tc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Официальный сайт компании: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4"/>
                  <w:szCs w:val="24"/>
                  <w:u w:val="single"/>
                  <w:rtl w:val="0"/>
                </w:rPr>
                <w:t xml:space="preserve">www.rosneft.com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Отрасль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Нефтегазовый сектор (вертикально-интегрированная нефтегазовая компания, ВИНК).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Официальный сайт компании: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4"/>
                  <w:szCs w:val="24"/>
                  <w:u w:val="single"/>
                  <w:rtl w:val="0"/>
                </w:rPr>
                <w:t xml:space="preserve">www.rosneft.com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Выручка</w:t>
            </w:r>
          </w:p>
        </w:tc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8 236 млрд руб. (2025 г.)</w:t>
            </w:r>
          </w:p>
        </w:tc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Пресс-релиз компании о результатах за 12 мес. 2024 г.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[1]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аналитика финансовых порталов (Альфа-Банк)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[2]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Способ подтверждения масштаба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Публичные данные. Два независимых источника: официальная отчетность МСФО на сайте эмитента и данные агрегаторов раскрытия информации / финансовой аналитики.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Ссылки на 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4"/>
                  <w:szCs w:val="24"/>
                  <w:u w:val="single"/>
                  <w:rtl w:val="0"/>
                </w:rPr>
                <w:t xml:space="preserve">rosneft.ru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4"/>
                  <w:szCs w:val="24"/>
                  <w:u w:val="single"/>
                  <w:rtl w:val="0"/>
                </w:rPr>
                <w:t xml:space="preserve">e-disclosure.ru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[3], [4]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Направления выручки</w:t>
            </w:r>
          </w:p>
        </w:tc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Добыча углеводородов (верхний сегмент), переработка и сбыт (нижний сегмент), торговая и прочая деятельность.</w:t>
            </w:r>
          </w:p>
        </w:tc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Публичные сведения о сбытовой политике и сети АЗС на сайте компании.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Клиенты и каналы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B2B/B2G (оптовые покупатели нефти/газа, государственные контракты, экспорт) и B2C (население). Каналы: прямые долгосрочные контракты, биржевые торги (СПбМТСБ), розничная сеть АЗС («Роснефть», «Башнефть»).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Публичные сведения о сбытовой политике и сети АЗС на сайте компании.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Что известно об ИТ на входе</w:t>
            </w:r>
          </w:p>
        </w:tc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1. ИТ-функция существует в виде дочерней компании/менеджера, которая ранее называлась ООО «РН-Информ», но сейчас является ООО ИК "СИБИНТЕК"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www.list-org.com;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2. Закупки ИТ идут через закрытые секции ЭТП «ТЭК-Торг» zakupki.rosneft.com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3. Фиксируется активное импортозамещение: миграция на PostgreSQL и тестирование отечественных АТС .</w:t>
            </w:r>
          </w:p>
        </w:tc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[5]-[18]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Доступ студента к сведениям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Только открытые данные (отчетность, тендеры, вакансии, новости). Внутреннего доступа к инфраструктуре, архитектурам и бюджетам нет.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Работа с открытыми источниками данных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Ограничения на раскрытие</w:t>
            </w:r>
          </w:p>
        </w:tc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Компания ограничивает раскрытие операционных деталей и ИТ-бюджетов</w:t>
            </w:r>
          </w:p>
        </w:tc>
        <w:tc>
          <w:tcPr>
            <w:shd w:fill="ebf0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Использование нормировки</w:t>
            </w:r>
          </w:p>
        </w:tc>
      </w:tr>
    </w:tbl>
    <w:p w:rsidR="00000000" w:rsidDel="00000000" w:rsidP="00000000" w:rsidRDefault="00000000" w:rsidRPr="00000000" w14:paraId="00000037">
      <w:pPr>
        <w:spacing w:line="240" w:lineRule="auto"/>
        <w:jc w:val="left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28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Краткий паспорт</w:t>
      </w:r>
    </w:p>
    <w:p w:rsidR="00000000" w:rsidDel="00000000" w:rsidP="00000000" w:rsidRDefault="00000000" w:rsidRPr="00000000" w14:paraId="00000039">
      <w:pPr>
        <w:spacing w:after="60" w:before="1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1. БИЗНЕС. ПАО «НК «Роснефть» — вертикально интегрированная нефтегазовая компания полного цикла: разведка и добыча → переработка → нефтехимия → сбыт нефтепродуктов. Отрасль — нефтегазовая промышленность (ТЭК).</w:t>
      </w:r>
    </w:p>
    <w:p w:rsidR="00000000" w:rsidDel="00000000" w:rsidP="00000000" w:rsidRDefault="00000000" w:rsidRPr="00000000" w14:paraId="0000003A">
      <w:pPr>
        <w:spacing w:after="60" w:before="1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 МАСШТАБ. Выручка 2023 — 10 876 млрд ₽ (МСФО, +7,5%); eBITDA — 2 687 млрд ₽. Численность — более 350 000 сотрудников. Активы: 13 крупных НПЗ, 100+ месторождений, более 3 000 АЗС. Крупнейший акционер — «Роснефтегаз» (государственный пакет).</w:t>
      </w:r>
    </w:p>
    <w:p w:rsidR="00000000" w:rsidDel="00000000" w:rsidP="00000000" w:rsidRDefault="00000000" w:rsidRPr="00000000" w14:paraId="0000003B">
      <w:pPr>
        <w:spacing w:after="60" w:before="1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3. НАПРАВЛЕНИЯ. «Разведка и добыча», «Переработка», «Сбыт», «Газовый бизнес». Функционально: НИИ (РН-БашНИПИнефть, РН-УфаНИПИнефть) и ИТ-кластер («Сибинтек», ЕЦПК).</w:t>
      </w:r>
    </w:p>
    <w:p w:rsidR="00000000" w:rsidDel="00000000" w:rsidP="00000000" w:rsidRDefault="00000000" w:rsidRPr="00000000" w14:paraId="0000003C">
      <w:pPr>
        <w:spacing w:after="60" w:before="1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 ИТ-ФУНКЦИЯ. Централизованная стратегия + внутренний интегратор «Сибинтек» + НИИ для R&amp;D. ИТ-инвестиции — более 40 млрд ₽ за три года; эффект цифровизации — более 100 млрд ₽/год (2026). 24 собственных программных продукта, 16 в промышленной эксплуатации. </w:t>
      </w:r>
    </w:p>
    <w:p w:rsidR="00000000" w:rsidDel="00000000" w:rsidP="00000000" w:rsidRDefault="00000000" w:rsidRPr="00000000" w14:paraId="0000003D">
      <w:pPr>
        <w:spacing w:after="60" w:before="1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 ОГРАНИЧЕНИЯ. Только открытые данные. Численность ИТ-специалистов, метрики ИБ, партнeры по ИБ и количество ЦОД публично не раскрыты.</w:t>
      </w:r>
    </w:p>
    <w:p w:rsidR="00000000" w:rsidDel="00000000" w:rsidP="00000000" w:rsidRDefault="00000000" w:rsidRPr="00000000" w14:paraId="0000003E">
      <w:pPr>
        <w:spacing w:after="60" w:before="1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left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Список источников: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="240" w:lineRule="auto"/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https://www.rosneft.ru/?spm=a2ty_o01.29997173.0.0.69ab55fbdk0XOy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="240" w:lineRule="auto"/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https://www.economicactivity.org/top-10-largest-companies-in-russia-by-revenue-2025-update/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="240" w:lineRule="auto"/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https://www.rosneft.ru/Investors/statements_and_presentations/?spm=a2ty_o01.29997173.0.0.69ab55fbdk0XOy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="240" w:lineRule="auto"/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https://www.e-disclosure.ru/portal/company.aspx?spm=a2ty_o01.29997173.0.0.69ab55fbdk0XOy&amp;id=6505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TAdviser: Information Technology at Rosneft</w:t>
        <w:br w:type="textWrapping"/>
      </w: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https://tadviser.com/index.php/Article:Information_Technology_at_Rosneft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Роснефть: ЕЦПК — единая цифровая платформа</w:t>
      </w: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br w:type="textWrapping"/>
          <w:t xml:space="preserve">https://www.rosneft.ru/press/today/item/220137/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Экспертное правовое решение: Система управления ПАО НК Роснефть</w:t>
        <w:br w:type="textWrapping"/>
      </w: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https://ekspertnoe-pravovoe-reshenie.ru/opisanie-sistemy-upravleniya-pao-nk-rosneft.html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Zoom CNews: Роснефть представила собственную цифровую платформу ЕЦПК</w:t>
      </w:r>
      <w:hyperlink r:id="rId1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br w:type="textWrapping"/>
          <w:t xml:space="preserve">https://zoom.cnews.ru/news/item/607052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CNews: Цифра без иллюзий — лидеры российского бизнеса строят независимые экосистемы</w:t>
      </w:r>
      <w:hyperlink r:id="rId18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br w:type="textWrapping"/>
          <w:t xml:space="preserve">https://www.cnews.ru/articles/2026-07-01_tsifra_bez_illyuzij_kak_lidery_rossijskogo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ЦДУ ТЭК: Цифровые технологии «Роснефти»</w:t>
      </w:r>
      <w:hyperlink r:id="rId19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br w:type="textWrapping"/>
          <w:t xml:space="preserve">https://www.cdu.ru/tek_russia/articles/1/1313/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TAdviser: Information Technology at Rosneft (подробная статья</w:t>
      </w:r>
      <w:hyperlink r:id="rId20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br w:type="textWrapping"/>
          <w:t xml:space="preserve">https://tadviser.com/index.php/Article:Information_Technology_at_Rosneft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Твой юридический эксперт: Организационная структура управления ПАО Роснефть</w:t>
      </w:r>
      <w:hyperlink r:id="rId21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br w:type="textWrapping"/>
          <w:t xml:space="preserve">https://tvoi-yuridicheskii-ekspert.ru/organizaczionnaya-struktura-upravleniya-pao-rosneft.html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OP-EX: Транснефть инвестирует 44,3 млрд рублей в цифровую трансформацию до 2026 года</w:t>
      </w:r>
      <w:hyperlink r:id="rId2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br w:type="textWrapping"/>
          <w:t xml:space="preserve">https://op-ex.ru/post_news/transneft-investiruet-443-mlrd-rublej-v-czifrovuyu-transformacziyu-do-2026-goda/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CNews: Роснефть срочно понадобились специалисты по SAP</w:t>
      </w:r>
      <w:hyperlink r:id="rId2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br w:type="textWrapping"/>
          <w:t xml:space="preserve">https://www.cnews.ru/news/top/2026-07-03_litsom_k_zapadurosneft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Твой юридический эксперт: Структура управления Роснефти</w:t>
      </w:r>
      <w:hyperlink r:id="rId24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br w:type="textWrapping"/>
          <w:t xml:space="preserve">https://tvoi-yuridicheskii-ekspert.ru/struktura-upravleniya-rosnefti.html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Revelio Labs: Rosneft Oil Number of Employees 2026</w:t>
      </w:r>
      <w:hyperlink r:id="rId25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br w:type="textWrapping"/>
          <w:t xml:space="preserve">https://www.reveliolabs.com/companies/rosneft-oil/employees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Investing.com: Акции НК Роснефть (ROSN)</w:t>
      </w:r>
      <w:hyperlink r:id="rId2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br w:type="textWrapping"/>
          <w:t xml:space="preserve">https://ru.investing.com/equities/rosneft_rts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Smart-Lab: Роснефть (ROSN) численность персонала МСФО</w:t>
      </w:r>
      <w:hyperlink r:id="rId2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br w:type="textWrapping"/>
          <w:t xml:space="preserve">https://smart-lab.ru/q/ROSN/MSFO/employees/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left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left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Montserrat" w:cs="Montserrat" w:eastAsia="Montserrat" w:hAnsi="Montserrat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="240" w:lineRule="auto"/>
    </w:pPr>
    <w:rPr>
      <w:rFonts w:ascii="Montserrat" w:cs="Montserrat" w:eastAsia="Montserrat" w:hAnsi="Montserrat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adviser.com/index.php/Article:Information_Technology_at_Rosneft" TargetMode="External"/><Relationship Id="rId22" Type="http://schemas.openxmlformats.org/officeDocument/2006/relationships/hyperlink" Target="https://op-ex.ru/post_news/transneft-investiruet-443-mlrd-rublej-v-czifrovuyu-transformacziyu-do-2026-goda/" TargetMode="External"/><Relationship Id="rId21" Type="http://schemas.openxmlformats.org/officeDocument/2006/relationships/hyperlink" Target="https://tvoi-yuridicheskii-ekspert.ru/organizaczionnaya-struktura-upravleniya-pao-rosneft.html" TargetMode="External"/><Relationship Id="rId24" Type="http://schemas.openxmlformats.org/officeDocument/2006/relationships/hyperlink" Target="https://tvoi-yuridicheskii-ekspert.ru/struktura-upravleniya-rosnefti.html" TargetMode="External"/><Relationship Id="rId23" Type="http://schemas.openxmlformats.org/officeDocument/2006/relationships/hyperlink" Target="https://www.cnews.ru/news/top/2026-07-03_litsom_k_zapadurosnef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e-disclosure.ru" TargetMode="External"/><Relationship Id="rId26" Type="http://schemas.openxmlformats.org/officeDocument/2006/relationships/hyperlink" Target="https://ru.investing.com/equities/rosneft_rts" TargetMode="External"/><Relationship Id="rId25" Type="http://schemas.openxmlformats.org/officeDocument/2006/relationships/hyperlink" Target="https://www.reveliolabs.com/companies/rosneft-oil/employees" TargetMode="External"/><Relationship Id="rId27" Type="http://schemas.openxmlformats.org/officeDocument/2006/relationships/hyperlink" Target="https://smart-lab.ru/q/ROSN/MSFO/employees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rosneft.com" TargetMode="External"/><Relationship Id="rId7" Type="http://schemas.openxmlformats.org/officeDocument/2006/relationships/hyperlink" Target="http://www.rosneft.com" TargetMode="External"/><Relationship Id="rId8" Type="http://schemas.openxmlformats.org/officeDocument/2006/relationships/hyperlink" Target="http://rosneft.ru" TargetMode="External"/><Relationship Id="rId11" Type="http://schemas.openxmlformats.org/officeDocument/2006/relationships/hyperlink" Target="https://www.economicactivity.org/top-10-largest-companies-in-russia-by-revenue-2025-update/" TargetMode="External"/><Relationship Id="rId10" Type="http://schemas.openxmlformats.org/officeDocument/2006/relationships/hyperlink" Target="https://www.rosneft.ru/?spm=a2ty_o01.29997173.0.0.69ab55fbdk0XOy" TargetMode="External"/><Relationship Id="rId13" Type="http://schemas.openxmlformats.org/officeDocument/2006/relationships/hyperlink" Target="https://www.e-disclosure.ru/portal/company.aspx?spm=a2ty_o01.29997173.0.0.69ab55fbdk0XOy&amp;id=6505" TargetMode="External"/><Relationship Id="rId12" Type="http://schemas.openxmlformats.org/officeDocument/2006/relationships/hyperlink" Target="https://www.rosneft.ru/Investors/statements_and_presentations/?spm=a2ty_o01.29997173.0.0.69ab55fbdk0XOy" TargetMode="External"/><Relationship Id="rId15" Type="http://schemas.openxmlformats.org/officeDocument/2006/relationships/hyperlink" Target="https://www.rosneft.ru/press/today/item/220137/" TargetMode="External"/><Relationship Id="rId14" Type="http://schemas.openxmlformats.org/officeDocument/2006/relationships/hyperlink" Target="https://tadviser.com/index.php/Article:Information_Technology_at_Rosneft" TargetMode="External"/><Relationship Id="rId17" Type="http://schemas.openxmlformats.org/officeDocument/2006/relationships/hyperlink" Target="https://zoom.cnews.ru/news/item/607052" TargetMode="External"/><Relationship Id="rId16" Type="http://schemas.openxmlformats.org/officeDocument/2006/relationships/hyperlink" Target="https://ekspertnoe-pravovoe-reshenie.ru/opisanie-sistemy-upravleniya-pao-nk-rosneft.html" TargetMode="External"/><Relationship Id="rId19" Type="http://schemas.openxmlformats.org/officeDocument/2006/relationships/hyperlink" Target="https://www.cdu.ru/tek_russia/articles/1/1313/" TargetMode="External"/><Relationship Id="rId18" Type="http://schemas.openxmlformats.org/officeDocument/2006/relationships/hyperlink" Target="https://www.cnews.ru/articles/2026-07-01_tsifra_bez_illyuzij_kak_lidery_rossijskog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