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cs="Times New Roman"/>
        </w:rPr>
        <w:t>固定收益证券知识主册</w:t>
      </w:r>
    </w:p>
    <w:p>
      <w:pPr>
        <w:pStyle w:val="Heading1"/>
      </w:pPr>
      <w:r>
        <w:rPr>
          <w:rFonts w:ascii="Times New Roman" w:hAnsi="Times New Roman" w:eastAsia="微软雅黑" w:cs="Times New Roman"/>
        </w:rPr>
        <w:t>Topic 1 债券基础</w:t>
      </w:r>
    </w:p>
    <w:p>
      <w:pPr>
        <w:pStyle w:val="Heading2"/>
      </w:pPr>
      <w:r>
        <w:rPr>
          <w:rFonts w:ascii="Times New Roman" w:hAnsi="Times New Roman" w:eastAsia="微软雅黑" w:cs="Times New Roman"/>
        </w:rPr>
        <w:t>1.1 固定收益证券的基本结构</w:t>
      </w:r>
    </w:p>
    <w:p>
      <w:r>
        <w:rPr>
          <w:rFonts w:ascii="Times New Roman" w:hAnsi="Times New Roman" w:eastAsia="微软雅黑" w:cs="Times New Roman"/>
        </w:rPr>
        <w:t>债券代表发行人向投资者借入资金。投资者通常获得定期利息和到期本金。分析债券时至少识别：</w:t>
      </w:r>
    </w:p>
    <w:p>
      <w:pPr>
        <w:pStyle w:val="ListBullet"/>
      </w:pPr>
      <w:r>
        <w:rPr>
          <w:rFonts w:ascii="Times New Roman" w:hAnsi="Times New Roman" w:eastAsia="微软雅黑" w:cs="Times New Roman"/>
        </w:rPr>
        <w:t>发行人（issuer）与发行部门；</w:t>
      </w:r>
    </w:p>
    <w:p>
      <w:pPr>
        <w:pStyle w:val="ListBullet"/>
      </w:pPr>
      <w:r>
        <w:rPr>
          <w:rFonts w:ascii="Times New Roman" w:hAnsi="Times New Roman" w:eastAsia="微软雅黑" w:cs="Times New Roman"/>
        </w:rPr>
        <w:t>面值或到期价值（par/maturity value）；</w:t>
      </w:r>
    </w:p>
    <w:p>
      <w:pPr>
        <w:pStyle w:val="ListBullet"/>
      </w:pPr>
      <w:r>
        <w:rPr>
          <w:rFonts w:ascii="Times New Roman" w:hAnsi="Times New Roman" w:eastAsia="微软雅黑" w:cs="Times New Roman"/>
        </w:rPr>
        <w:t>票面利率（coupon rate）与票息频率；</w:t>
      </w:r>
    </w:p>
    <w:p>
      <w:pPr>
        <w:pStyle w:val="ListBullet"/>
      </w:pPr>
      <w:r>
        <w:rPr>
          <w:rFonts w:ascii="Times New Roman" w:hAnsi="Times New Roman" w:eastAsia="微软雅黑" w:cs="Times New Roman"/>
        </w:rPr>
        <w:t>到期日和剩余期限；</w:t>
      </w:r>
    </w:p>
    <w:p>
      <w:pPr>
        <w:pStyle w:val="ListBullet"/>
      </w:pPr>
      <w:r>
        <w:rPr>
          <w:rFonts w:ascii="Times New Roman" w:hAnsi="Times New Roman" w:eastAsia="微软雅黑" w:cs="Times New Roman"/>
        </w:rPr>
        <w:t>计价货币；</w:t>
      </w:r>
    </w:p>
    <w:p>
      <w:pPr>
        <w:pStyle w:val="ListBullet"/>
      </w:pPr>
      <w:r>
        <w:rPr>
          <w:rFonts w:ascii="Times New Roman" w:hAnsi="Times New Roman" w:eastAsia="微软雅黑" w:cs="Times New Roman"/>
        </w:rPr>
        <w:t>担保、优先级和契约条款（indenture/covenants）；</w:t>
      </w:r>
    </w:p>
    <w:p>
      <w:pPr>
        <w:pStyle w:val="ListBullet"/>
      </w:pPr>
      <w:r>
        <w:rPr>
          <w:rFonts w:ascii="Times New Roman" w:hAnsi="Times New Roman" w:eastAsia="微软雅黑" w:cs="Times New Roman"/>
        </w:rPr>
        <w:t>嵌入期权；</w:t>
      </w:r>
    </w:p>
    <w:p>
      <w:pPr>
        <w:pStyle w:val="ListBullet"/>
      </w:pPr>
      <w:r>
        <w:rPr>
          <w:rFonts w:ascii="Times New Roman" w:hAnsi="Times New Roman" w:eastAsia="微软雅黑" w:cs="Times New Roman"/>
        </w:rPr>
        <w:t>偿债基金等本金偿还安排。</w:t>
      </w:r>
    </w:p>
    <w:p>
      <w:r>
        <w:rPr>
          <w:rFonts w:ascii="Times New Roman" w:hAnsi="Times New Roman" w:eastAsia="微软雅黑" w:cs="Times New Roman"/>
        </w:rPr>
        <w:t>按剩余期限可分为短期、中期和长期。票息结构包括固定利率、浮动利率、反向浮动利率、零息、递增或递减票息等。浮息债票息通常等于参考利率加报价利差，并可带 cap 或 floor。</w:t>
      </w:r>
    </w:p>
    <w:p>
      <w:pPr>
        <w:pStyle w:val="Heading2"/>
      </w:pPr>
      <w:r>
        <w:rPr>
          <w:rFonts w:ascii="Times New Roman" w:hAnsi="Times New Roman" w:eastAsia="微软雅黑" w:cs="Times New Roman"/>
        </w:rPr>
        <w:t>1.2 主要契约和嵌入期权</w:t>
      </w:r>
    </w:p>
    <w:p>
      <w:pPr>
        <w:pStyle w:val="ListBullet"/>
      </w:pPr>
      <w:r>
        <w:rPr>
          <w:rFonts w:ascii="Times New Roman" w:hAnsi="Times New Roman" w:eastAsia="微软雅黑" w:cs="Times New Roman"/>
        </w:rPr>
        <w:t>**Call provision**：发行人有权按约定价格提前赎回。投资者相当于卖出赎回期权。</w:t>
      </w:r>
    </w:p>
    <w:p>
      <w:pPr>
        <w:pStyle w:val="ListBullet"/>
      </w:pPr>
      <w:r>
        <w:rPr>
          <w:rFonts w:ascii="Times New Roman" w:hAnsi="Times New Roman" w:eastAsia="微软雅黑" w:cs="Times New Roman"/>
        </w:rPr>
        <w:t>**Put provision**：投资者有权按约定价格回售。投资者拥有回售期权。</w:t>
      </w:r>
    </w:p>
    <w:p>
      <w:pPr>
        <w:pStyle w:val="ListBullet"/>
      </w:pPr>
      <w:r>
        <w:rPr>
          <w:rFonts w:ascii="Times New Roman" w:hAnsi="Times New Roman" w:eastAsia="微软雅黑" w:cs="Times New Roman"/>
        </w:rPr>
        <w:t>**Convertible bond**：投资者可按约定比例转换为发行人普通股。</w:t>
      </w:r>
    </w:p>
    <w:p>
      <w:pPr>
        <w:pStyle w:val="ListBullet"/>
      </w:pPr>
      <w:r>
        <w:rPr>
          <w:rFonts w:ascii="Times New Roman" w:hAnsi="Times New Roman" w:eastAsia="微软雅黑" w:cs="Times New Roman"/>
        </w:rPr>
        <w:t>**Exchangeable bond**：可转换为另一公司的证券。</w:t>
      </w:r>
    </w:p>
    <w:p>
      <w:pPr>
        <w:pStyle w:val="ListBullet"/>
      </w:pPr>
      <w:r>
        <w:rPr>
          <w:rFonts w:ascii="Times New Roman" w:hAnsi="Times New Roman" w:eastAsia="微软雅黑" w:cs="Times New Roman"/>
        </w:rPr>
        <w:t>**Sinking fund**：发行人按计划分期偿还部分本金。</w:t>
      </w:r>
    </w:p>
    <w:p>
      <w:pPr>
        <w:pStyle w:val="ListBullet"/>
      </w:pPr>
      <w:r>
        <w:rPr>
          <w:rFonts w:ascii="Times New Roman" w:hAnsi="Times New Roman" w:eastAsia="微软雅黑" w:cs="Times New Roman"/>
        </w:rPr>
        <w:t>**Make-whole call**：赎回价格与剩余现金流现值挂钩，用于补偿投资者。</w:t>
      </w:r>
    </w:p>
    <w:p>
      <w:pPr>
        <w:pStyle w:val="ListBullet"/>
      </w:pPr>
      <w:r>
        <w:rPr>
          <w:rFonts w:ascii="Times New Roman" w:hAnsi="Times New Roman" w:eastAsia="微软雅黑" w:cs="Times New Roman"/>
        </w:rPr>
        <w:t>**Nonrefundable provision**：限制发行人用较低成本的新债为旧债再融资。</w:t>
      </w:r>
    </w:p>
    <w:p>
      <w:pPr>
        <w:pStyle w:val="ListBullet"/>
      </w:pPr>
      <w:r>
        <w:rPr>
          <w:rFonts w:ascii="Times New Roman" w:hAnsi="Times New Roman" w:eastAsia="微软雅黑" w:cs="Times New Roman"/>
        </w:rPr>
        <w:t>**Prepayment**：基础借款人可提前偿还，MBS/ABS 投资者因而面临现金流不确定性。</w:t>
      </w:r>
    </w:p>
    <w:p>
      <w:pPr>
        <w:pStyle w:val="Heading2"/>
      </w:pPr>
      <w:r>
        <w:rPr>
          <w:rFonts w:ascii="Times New Roman" w:hAnsi="Times New Roman" w:eastAsia="微软雅黑" w:cs="Times New Roman"/>
        </w:rPr>
        <w:t>1.3 六个主要债券部门</w:t>
      </w:r>
    </w:p>
    <w:p>
      <w:r>
        <w:rPr>
          <w:rFonts w:ascii="Times New Roman" w:hAnsi="Times New Roman" w:eastAsia="微软雅黑" w:cs="Times New Roman"/>
        </w:rPr>
        <w:t>主要部门包括：Treasury、Agency、Municipal、Corporate、Mortgage-backed securities 和 Asset-backed securities。不同部门在信用、税收、流动性、现金流结构和嵌入期权方面不同。</w:t>
      </w:r>
    </w:p>
    <w:p>
      <w:pPr>
        <w:pStyle w:val="Heading2"/>
      </w:pPr>
      <w:r>
        <w:rPr>
          <w:rFonts w:ascii="Times New Roman" w:hAnsi="Times New Roman" w:eastAsia="微软雅黑" w:cs="Times New Roman"/>
        </w:rPr>
        <w:t>1.4 十一类风险</w:t>
      </w:r>
    </w:p>
    <w:p>
      <w:pPr>
        <w:pStyle w:val="ListNumber"/>
      </w:pPr>
      <w:r>
        <w:rPr>
          <w:rFonts w:ascii="Times New Roman" w:hAnsi="Times New Roman" w:eastAsia="微软雅黑" w:cs="Times New Roman"/>
        </w:rPr>
        <w:t>**Interest-rate risk**：收益率上升导致债券价格下降。</w:t>
      </w:r>
    </w:p>
    <w:p>
      <w:pPr>
        <w:pStyle w:val="ListNumber"/>
      </w:pPr>
      <w:r>
        <w:rPr>
          <w:rFonts w:ascii="Times New Roman" w:hAnsi="Times New Roman" w:eastAsia="微软雅黑" w:cs="Times New Roman"/>
        </w:rPr>
        <w:t>**Reinvestment risk**：中间现金流不能按原收益率再投资。</w:t>
      </w:r>
    </w:p>
    <w:p>
      <w:pPr>
        <w:pStyle w:val="ListNumber"/>
      </w:pPr>
      <w:r>
        <w:rPr>
          <w:rFonts w:ascii="Times New Roman" w:hAnsi="Times New Roman" w:eastAsia="微软雅黑" w:cs="Times New Roman"/>
        </w:rPr>
        <w:t>**Call risk**：利率下降时发行人赎回，投资者被迫以较低利率再投资。</w:t>
      </w:r>
    </w:p>
    <w:p>
      <w:pPr>
        <w:pStyle w:val="ListNumber"/>
      </w:pPr>
      <w:r>
        <w:rPr>
          <w:rFonts w:ascii="Times New Roman" w:hAnsi="Times New Roman" w:eastAsia="微软雅黑" w:cs="Times New Roman"/>
        </w:rPr>
        <w:t>**Credit/default risk**：发行人不能按时足额支付本息。</w:t>
      </w:r>
    </w:p>
    <w:p>
      <w:pPr>
        <w:pStyle w:val="ListNumber"/>
      </w:pPr>
      <w:r>
        <w:rPr>
          <w:rFonts w:ascii="Times New Roman" w:hAnsi="Times New Roman" w:eastAsia="微软雅黑" w:cs="Times New Roman"/>
        </w:rPr>
        <w:t>**Credit-spread risk**：即使没有违约，信用利差扩大也会压低价格。</w:t>
      </w:r>
    </w:p>
    <w:p>
      <w:pPr>
        <w:pStyle w:val="ListNumber"/>
      </w:pPr>
      <w:r>
        <w:rPr>
          <w:rFonts w:ascii="Times New Roman" w:hAnsi="Times New Roman" w:eastAsia="微软雅黑" w:cs="Times New Roman"/>
        </w:rPr>
        <w:t>**Downgrade risk**：评级下调导致价格下降或投资限制。</w:t>
      </w:r>
    </w:p>
    <w:p>
      <w:pPr>
        <w:pStyle w:val="ListNumber"/>
      </w:pPr>
      <w:r>
        <w:rPr>
          <w:rFonts w:ascii="Times New Roman" w:hAnsi="Times New Roman" w:eastAsia="微软雅黑" w:cs="Times New Roman"/>
        </w:rPr>
        <w:t>**Liquidity risk**：无法以接近公允价值的价格快速交易。</w:t>
      </w:r>
    </w:p>
    <w:p>
      <w:pPr>
        <w:pStyle w:val="ListNumber"/>
      </w:pPr>
      <w:r>
        <w:rPr>
          <w:rFonts w:ascii="Times New Roman" w:hAnsi="Times New Roman" w:eastAsia="微软雅黑" w:cs="Times New Roman"/>
        </w:rPr>
        <w:t>**Exchange-rate risk**：外币债券的本币价值受汇率变化影响。</w:t>
      </w:r>
    </w:p>
    <w:p>
      <w:pPr>
        <w:pStyle w:val="ListNumber"/>
      </w:pPr>
      <w:r>
        <w:rPr>
          <w:rFonts w:ascii="Times New Roman" w:hAnsi="Times New Roman" w:eastAsia="微软雅黑" w:cs="Times New Roman"/>
        </w:rPr>
        <w:t>**Inflation/purchasing-power risk**：通胀降低固定现金流的实际购买力。</w:t>
      </w:r>
    </w:p>
    <w:p>
      <w:pPr>
        <w:pStyle w:val="ListNumber"/>
      </w:pPr>
      <w:r>
        <w:rPr>
          <w:rFonts w:ascii="Times New Roman" w:hAnsi="Times New Roman" w:eastAsia="微软雅黑" w:cs="Times New Roman"/>
        </w:rPr>
        <w:t>**Volatility risk**：利率波动率改变嵌入期权价值，从而改变债券价值。</w:t>
      </w:r>
    </w:p>
    <w:p>
      <w:pPr>
        <w:pStyle w:val="ListNumber"/>
      </w:pPr>
      <w:r>
        <w:rPr>
          <w:rFonts w:ascii="Times New Roman" w:hAnsi="Times New Roman" w:eastAsia="微软雅黑" w:cs="Times New Roman"/>
        </w:rPr>
        <w:t>**Event risk**：收购、重组、灾害或监管等事件突然改变偿债能力或债券结构。</w:t>
      </w:r>
    </w:p>
    <w:p>
      <w:r>
        <w:rPr>
          <w:rFonts w:ascii="Times New Roman" w:hAnsi="Times New Roman" w:eastAsia="微软雅黑" w:cs="Times New Roman"/>
        </w:rPr>
        <w:t>票息越低、期限越长、收益率越低，普通无期权债券通常对利率越敏感。利率风险与再投资风险方向相反：利率上升使价格下降，但提高再投资收益；利率下降使价格上升，但降低再投资收益。</w:t>
      </w:r>
    </w:p>
    <w:p>
      <w:pPr>
        <w:pStyle w:val="Heading1"/>
      </w:pPr>
      <w:r>
        <w:rPr>
          <w:rFonts w:ascii="Times New Roman" w:hAnsi="Times New Roman" w:eastAsia="微软雅黑" w:cs="Times New Roman"/>
        </w:rPr>
        <w:t>Topic 2 市场、工具、利差和收益率曲线</w:t>
      </w:r>
    </w:p>
    <w:p>
      <w:pPr>
        <w:pStyle w:val="Heading2"/>
      </w:pPr>
      <w:r>
        <w:rPr>
          <w:rFonts w:ascii="Times New Roman" w:hAnsi="Times New Roman" w:eastAsia="微软雅黑" w:cs="Times New Roman"/>
        </w:rPr>
        <w:t>2.1 发行地域分类</w:t>
      </w:r>
    </w:p>
    <w:p>
      <w:pPr>
        <w:pStyle w:val="ListBullet"/>
      </w:pPr>
      <w:r>
        <w:rPr>
          <w:rFonts w:ascii="Times New Roman" w:hAnsi="Times New Roman" w:eastAsia="微软雅黑" w:cs="Times New Roman"/>
        </w:rPr>
        <w:t>**Domestic bond**：发行人、发行市场和计价货币属于同一国家。</w:t>
      </w:r>
    </w:p>
    <w:p>
      <w:pPr>
        <w:pStyle w:val="ListBullet"/>
      </w:pPr>
      <w:r>
        <w:rPr>
          <w:rFonts w:ascii="Times New Roman" w:hAnsi="Times New Roman" w:eastAsia="微软雅黑" w:cs="Times New Roman"/>
        </w:rPr>
        <w:t>**Foreign bond**：外国发行人在某国以该国货币发行。</w:t>
      </w:r>
    </w:p>
    <w:p>
      <w:pPr>
        <w:pStyle w:val="ListBullet"/>
      </w:pPr>
      <w:r>
        <w:rPr>
          <w:rFonts w:ascii="Times New Roman" w:hAnsi="Times New Roman" w:eastAsia="微软雅黑" w:cs="Times New Roman"/>
        </w:rPr>
        <w:t>**Eurobond**：在计价货币所属国以外发行。</w:t>
      </w:r>
    </w:p>
    <w:p>
      <w:pPr>
        <w:pStyle w:val="ListBullet"/>
      </w:pPr>
      <w:r>
        <w:rPr>
          <w:rFonts w:ascii="Times New Roman" w:hAnsi="Times New Roman" w:eastAsia="微软雅黑" w:cs="Times New Roman"/>
        </w:rPr>
        <w:t>**Global bond**：同时在多个主要市场发行。</w:t>
      </w:r>
    </w:p>
    <w:p>
      <w:r>
        <w:rPr>
          <w:rFonts w:ascii="Times New Roman" w:hAnsi="Times New Roman" w:eastAsia="微软雅黑" w:cs="Times New Roman"/>
        </w:rPr>
        <w:t>债券二级市场主要采用 OTC 交易。市场价格通常以面值百分比报价；美元价格等于面值乘以报价再除以 100。</w:t>
      </w:r>
    </w:p>
    <w:p>
      <w:pPr>
        <w:pStyle w:val="Heading2"/>
      </w:pPr>
      <w:r>
        <w:rPr>
          <w:rFonts w:ascii="Times New Roman" w:hAnsi="Times New Roman" w:eastAsia="微软雅黑" w:cs="Times New Roman"/>
        </w:rPr>
        <w:t>2.2 政府及相关证券</w:t>
      </w:r>
    </w:p>
    <w:p>
      <w:pPr>
        <w:pStyle w:val="ListBullet"/>
      </w:pPr>
      <w:r>
        <w:rPr>
          <w:rFonts w:ascii="Times New Roman" w:hAnsi="Times New Roman" w:eastAsia="微软雅黑" w:cs="Times New Roman"/>
        </w:rPr>
        <w:t>**Treasury securities**：常被用作基准利率和基准收益率曲线。</w:t>
      </w:r>
    </w:p>
    <w:p>
      <w:pPr>
        <w:pStyle w:val="ListBullet"/>
      </w:pPr>
      <w:r>
        <w:rPr>
          <w:rFonts w:ascii="Times New Roman" w:hAnsi="Times New Roman" w:eastAsia="微软雅黑" w:cs="Times New Roman"/>
        </w:rPr>
        <w:t>**Sovereign bonds**：由主权国家发行，可采用 multiple-price、single-price、ad hoc 或 tap 等发行方式。</w:t>
      </w:r>
    </w:p>
    <w:p>
      <w:pPr>
        <w:pStyle w:val="ListBullet"/>
      </w:pPr>
      <w:r>
        <w:rPr>
          <w:rFonts w:ascii="Times New Roman" w:hAnsi="Times New Roman" w:eastAsia="微软雅黑" w:cs="Times New Roman"/>
        </w:rPr>
        <w:t>**TIPS**：本金随通胀指数调整，票息按调整后本金计算，用于降低购买力风险。</w:t>
      </w:r>
    </w:p>
    <w:p>
      <w:pPr>
        <w:pStyle w:val="ListBullet"/>
      </w:pPr>
      <w:r>
        <w:rPr>
          <w:rFonts w:ascii="Times New Roman" w:hAnsi="Times New Roman" w:eastAsia="微软雅黑" w:cs="Times New Roman"/>
        </w:rPr>
        <w:t>**STRIPS**：把国债的各期票息和本金拆分为独立零息证券。</w:t>
      </w:r>
    </w:p>
    <w:p>
      <w:pPr>
        <w:pStyle w:val="ListBullet"/>
      </w:pPr>
      <w:r>
        <w:rPr>
          <w:rFonts w:ascii="Times New Roman" w:hAnsi="Times New Roman" w:eastAsia="微软雅黑" w:cs="Times New Roman"/>
        </w:rPr>
        <w:t>**Agency/GSE securities**：由政府机构或政府支持企业发行，其信用支持程度需按具体发行人判断。</w:t>
      </w:r>
    </w:p>
    <w:p>
      <w:pPr>
        <w:pStyle w:val="Heading2"/>
      </w:pPr>
      <w:r>
        <w:rPr>
          <w:rFonts w:ascii="Times New Roman" w:hAnsi="Times New Roman" w:eastAsia="微软雅黑" w:cs="Times New Roman"/>
        </w:rPr>
        <w:t>2.3 抵押贷款和证券化产品</w:t>
      </w:r>
    </w:p>
    <w:p>
      <w:r>
        <w:rPr>
          <w:rFonts w:ascii="Times New Roman" w:hAnsi="Times New Roman" w:eastAsia="微软雅黑" w:cs="Times New Roman"/>
        </w:rPr>
        <w:t>固定利率抵押贷款通常按月等额还款，每期付款包含利息和本金；随着时间推移，利息占比下降，本金占比上升。</w:t>
      </w:r>
    </w:p>
    <w:p>
      <w:pPr>
        <w:pStyle w:val="ListBullet"/>
      </w:pPr>
      <w:r>
        <w:rPr>
          <w:rFonts w:ascii="Times New Roman" w:hAnsi="Times New Roman" w:eastAsia="微软雅黑" w:cs="Times New Roman"/>
        </w:rPr>
        <w:t>**Mortgage pass-through**：基础抵押贷款收到的本金和利息按比例传递给投资者。</w:t>
      </w:r>
    </w:p>
    <w:p>
      <w:pPr>
        <w:pStyle w:val="ListBullet"/>
      </w:pPr>
      <w:r>
        <w:rPr>
          <w:rFonts w:ascii="Times New Roman" w:hAnsi="Times New Roman" w:eastAsia="微软雅黑" w:cs="Times New Roman"/>
        </w:rPr>
        <w:t>**CMO**：把抵押贷款现金流分配给不同 tranche，形成不同期限和提前偿还风险。</w:t>
      </w:r>
    </w:p>
    <w:p>
      <w:pPr>
        <w:pStyle w:val="ListBullet"/>
      </w:pPr>
      <w:r>
        <w:rPr>
          <w:rFonts w:ascii="Times New Roman" w:hAnsi="Times New Roman" w:eastAsia="微软雅黑" w:cs="Times New Roman"/>
        </w:rPr>
        <w:t>**ABS**：把信用卡、汽车贷款等资产产生的现金流证券化。</w:t>
      </w:r>
    </w:p>
    <w:p>
      <w:pPr>
        <w:pStyle w:val="ListBullet"/>
      </w:pPr>
      <w:r>
        <w:rPr>
          <w:rFonts w:ascii="Times New Roman" w:hAnsi="Times New Roman" w:eastAsia="微软雅黑" w:cs="Times New Roman"/>
        </w:rPr>
        <w:t>**CDO/CBO/CLO**：以债务、债券或贷款资产池为基础并进行分层。</w:t>
      </w:r>
    </w:p>
    <w:p>
      <w:pPr>
        <w:pStyle w:val="Heading2"/>
      </w:pPr>
      <w:r>
        <w:rPr>
          <w:rFonts w:ascii="Times New Roman" w:hAnsi="Times New Roman" w:eastAsia="微软雅黑" w:cs="Times New Roman"/>
        </w:rPr>
        <w:t>2.4 市政、公司及货币市场工具</w:t>
      </w:r>
    </w:p>
    <w:p>
      <w:pPr>
        <w:pStyle w:val="ListBullet"/>
      </w:pPr>
      <w:r>
        <w:rPr>
          <w:rFonts w:ascii="Times New Roman" w:hAnsi="Times New Roman" w:eastAsia="微软雅黑" w:cs="Times New Roman"/>
        </w:rPr>
        <w:t>Municipal bonds 包括 general obligation bonds 和 revenue bonds；税收待遇会影响其所需收益率。</w:t>
      </w:r>
    </w:p>
    <w:p>
      <w:pPr>
        <w:pStyle w:val="ListBullet"/>
      </w:pPr>
      <w:r>
        <w:rPr>
          <w:rFonts w:ascii="Times New Roman" w:hAnsi="Times New Roman" w:eastAsia="微软雅黑" w:cs="Times New Roman"/>
        </w:rPr>
        <w:t>Corporate debt 可按担保、优先级、期限和信用增强方式分类。</w:t>
      </w:r>
    </w:p>
    <w:p>
      <w:pPr>
        <w:pStyle w:val="ListBullet"/>
      </w:pPr>
      <w:r>
        <w:rPr>
          <w:rFonts w:ascii="Times New Roman" w:hAnsi="Times New Roman" w:eastAsia="微软雅黑" w:cs="Times New Roman"/>
        </w:rPr>
        <w:t>Certificate of deposit 是银行存款类工具。</w:t>
      </w:r>
    </w:p>
    <w:p>
      <w:pPr>
        <w:pStyle w:val="ListBullet"/>
      </w:pPr>
      <w:r>
        <w:rPr>
          <w:rFonts w:ascii="Times New Roman" w:hAnsi="Times New Roman" w:eastAsia="微软雅黑" w:cs="Times New Roman"/>
        </w:rPr>
        <w:t>Banker’s acceptance 常用于贸易融资，由银行承兑付款责任。</w:t>
      </w:r>
    </w:p>
    <w:p>
      <w:pPr>
        <w:pStyle w:val="Heading2"/>
      </w:pPr>
      <w:r>
        <w:rPr>
          <w:rFonts w:ascii="Times New Roman" w:hAnsi="Times New Roman" w:eastAsia="微软雅黑" w:cs="Times New Roman"/>
        </w:rPr>
        <w:t>2.5 收益率利差</w:t>
      </w:r>
    </w:p>
    <w:p>
      <w:r>
        <w:rPr>
          <w:rFonts w:ascii="Times New Roman" w:hAnsi="Times New Roman" w:eastAsia="微软雅黑" w:cs="Times New Roman"/>
        </w:rPr>
        <w:t>基准债券通常选择期限相近的 Treasury。常用表示：</w:t>
      </w:r>
    </w:p>
    <w:p>
      <w:pPr>
        <w:pStyle w:val="ListBullet"/>
      </w:pPr>
      <w:r>
        <w:rPr>
          <w:rFonts w:ascii="Times New Roman" w:hAnsi="Times New Roman" w:eastAsia="微软雅黑" w:cs="Times New Roman"/>
        </w:rPr>
        <w:t>Absolute spread = 被分析债券收益率 − 基准收益率；</w:t>
      </w:r>
    </w:p>
    <w:p>
      <w:pPr>
        <w:pStyle w:val="ListBullet"/>
      </w:pPr>
      <w:r>
        <w:rPr>
          <w:rFonts w:ascii="Times New Roman" w:hAnsi="Times New Roman" w:eastAsia="微软雅黑" w:cs="Times New Roman"/>
        </w:rPr>
        <w:t>Relative spread = Absolute spread ÷ 基准收益率；</w:t>
      </w:r>
    </w:p>
    <w:p>
      <w:pPr>
        <w:pStyle w:val="ListBullet"/>
      </w:pPr>
      <w:r>
        <w:rPr>
          <w:rFonts w:ascii="Times New Roman" w:hAnsi="Times New Roman" w:eastAsia="微软雅黑" w:cs="Times New Roman"/>
        </w:rPr>
        <w:t>Yield ratio = 被分析债券收益率 ÷ 基准收益率；</w:t>
      </w:r>
    </w:p>
    <w:p>
      <w:pPr>
        <w:pStyle w:val="ListBullet"/>
      </w:pPr>
      <w:r>
        <w:rPr>
          <w:rFonts w:ascii="Times New Roman" w:hAnsi="Times New Roman" w:eastAsia="微软雅黑" w:cs="Times New Roman"/>
        </w:rPr>
        <w:t>Swap spread = Swap rate − Treasury yield。</w:t>
      </w:r>
    </w:p>
    <w:p>
      <w:r>
        <w:rPr>
          <w:rFonts w:ascii="Times New Roman" w:hAnsi="Times New Roman" w:eastAsia="微软雅黑" w:cs="Times New Roman"/>
        </w:rPr>
        <w:t>利差受信用质量、嵌入期权、流动性、期限、税收待遇和市场供求影响。比较免税债与应税债时，应使用 equivalent taxable yield。</w:t>
      </w:r>
    </w:p>
    <w:p>
      <w:pPr>
        <w:pStyle w:val="Heading2"/>
      </w:pPr>
      <w:r>
        <w:rPr>
          <w:rFonts w:ascii="Times New Roman" w:hAnsi="Times New Roman" w:eastAsia="微软雅黑" w:cs="Times New Roman"/>
        </w:rPr>
        <w:t>2.6 收益率曲线</w:t>
      </w:r>
    </w:p>
    <w:p>
      <w:r>
        <w:rPr>
          <w:rFonts w:ascii="Times New Roman" w:hAnsi="Times New Roman" w:eastAsia="微软雅黑" w:cs="Times New Roman"/>
        </w:rPr>
        <w:t>收益率曲线可呈 upward-sloping、inverted、flat 等形状。曲线变化可表现为平行移动，也可表现为 steepening、flattening 或其他非平行变化。</w:t>
      </w:r>
    </w:p>
    <w:p>
      <w:r>
        <w:rPr>
          <w:rFonts w:ascii="Times New Roman" w:hAnsi="Times New Roman" w:eastAsia="微软雅黑" w:cs="Times New Roman"/>
        </w:rPr>
        <w:t>期限结构理论包括：</w:t>
      </w:r>
    </w:p>
    <w:p>
      <w:pPr>
        <w:pStyle w:val="ListBullet"/>
      </w:pPr>
      <w:r>
        <w:rPr>
          <w:rFonts w:ascii="Times New Roman" w:hAnsi="Times New Roman" w:eastAsia="微软雅黑" w:cs="Times New Roman"/>
        </w:rPr>
        <w:t>**Pure expectations theory**：远期利率反映未来短期利率预期，可有广义、局部预期和持有至到期回报等解释。</w:t>
      </w:r>
    </w:p>
    <w:p>
      <w:pPr>
        <w:pStyle w:val="ListBullet"/>
      </w:pPr>
      <w:r>
        <w:rPr>
          <w:rFonts w:ascii="Times New Roman" w:hAnsi="Times New Roman" w:eastAsia="微软雅黑" w:cs="Times New Roman"/>
        </w:rPr>
        <w:t>**Liquidity theory**：长期债券通常要求正的流动性或期限溢价。</w:t>
      </w:r>
    </w:p>
    <w:p>
      <w:pPr>
        <w:pStyle w:val="ListBullet"/>
      </w:pPr>
      <w:r>
        <w:rPr>
          <w:rFonts w:ascii="Times New Roman" w:hAnsi="Times New Roman" w:eastAsia="微软雅黑" w:cs="Times New Roman"/>
        </w:rPr>
        <w:t>**Preferred habitat theory**：投资者偏好特定期限，但在获得补偿时可以离开偏好区间。</w:t>
      </w:r>
    </w:p>
    <w:p>
      <w:pPr>
        <w:pStyle w:val="ListBullet"/>
      </w:pPr>
      <w:r>
        <w:rPr>
          <w:rFonts w:ascii="Times New Roman" w:hAnsi="Times New Roman" w:eastAsia="微软雅黑" w:cs="Times New Roman"/>
        </w:rPr>
        <w:t>**Market segmentation theory**：不同期限市场由各自供求决定。</w:t>
      </w:r>
    </w:p>
    <w:p>
      <w:pPr>
        <w:pStyle w:val="Heading1"/>
      </w:pPr>
      <w:r>
        <w:rPr>
          <w:rFonts w:ascii="Times New Roman" w:hAnsi="Times New Roman" w:eastAsia="微软雅黑" w:cs="Times New Roman"/>
        </w:rPr>
        <w:t>Topic 3 债券定价</w:t>
      </w:r>
    </w:p>
    <w:p>
      <w:pPr>
        <w:pStyle w:val="Heading2"/>
      </w:pPr>
      <w:r>
        <w:rPr>
          <w:rFonts w:ascii="Times New Roman" w:hAnsi="Times New Roman" w:eastAsia="微软雅黑" w:cs="Times New Roman"/>
        </w:rPr>
        <w:t>3.1 定价原则</w:t>
      </w:r>
    </w:p>
    <w:p>
      <w:r>
        <w:rPr>
          <w:rFonts w:ascii="Times New Roman" w:hAnsi="Times New Roman" w:eastAsia="微软雅黑" w:cs="Times New Roman"/>
        </w:rPr>
        <w:t>债券价值等于未来所有票息和本金按适当折现率计算的现值。零息债只有到期本金现金流。半年付息债应把年票息和年收益率转换为半年数据，并把年数转换为期数。</w:t>
      </w:r>
    </w:p>
    <w:p>
      <w:r>
        <w:rPr>
          <w:rFonts w:ascii="Times New Roman" w:hAnsi="Times New Roman" w:eastAsia="微软雅黑" w:cs="Times New Roman"/>
        </w:rPr>
        <w:t>票面利率与市场要求收益率的关系：</w:t>
      </w:r>
    </w:p>
    <w:p>
      <w:pPr>
        <w:pStyle w:val="ListBullet"/>
      </w:pPr>
      <w:r>
        <w:rPr>
          <w:rFonts w:ascii="Times New Roman" w:hAnsi="Times New Roman" w:eastAsia="微软雅黑" w:cs="Times New Roman"/>
        </w:rPr>
        <w:t>coupon rate = required yield：价格等于面值；</w:t>
      </w:r>
    </w:p>
    <w:p>
      <w:pPr>
        <w:pStyle w:val="ListBullet"/>
      </w:pPr>
      <w:r>
        <w:rPr>
          <w:rFonts w:ascii="Times New Roman" w:hAnsi="Times New Roman" w:eastAsia="微软雅黑" w:cs="Times New Roman"/>
        </w:rPr>
        <w:t>coupon rate &lt; required yield：折价交易；</w:t>
      </w:r>
    </w:p>
    <w:p>
      <w:pPr>
        <w:pStyle w:val="ListBullet"/>
      </w:pPr>
      <w:r>
        <w:rPr>
          <w:rFonts w:ascii="Times New Roman" w:hAnsi="Times New Roman" w:eastAsia="微软雅黑" w:cs="Times New Roman"/>
        </w:rPr>
        <w:t>coupon rate &gt; required yield：溢价交易。</w:t>
      </w:r>
    </w:p>
    <w:p>
      <w:r>
        <w:rPr>
          <w:rFonts w:ascii="Times New Roman" w:hAnsi="Times New Roman" w:eastAsia="微软雅黑" w:cs="Times New Roman"/>
        </w:rPr>
        <w:t>若收益率保持不变，债券临近到期时价格趋向面值。</w:t>
      </w:r>
    </w:p>
    <w:p>
      <w:pPr>
        <w:pStyle w:val="Heading2"/>
      </w:pPr>
      <w:r>
        <w:rPr>
          <w:rFonts w:ascii="Times New Roman" w:hAnsi="Times New Roman" w:eastAsia="微软雅黑" w:cs="Times New Roman"/>
        </w:rPr>
        <w:t>3.2 净价、全价和应计利息</w:t>
      </w:r>
    </w:p>
    <w:p>
      <w:pPr>
        <w:pStyle w:val="ListBullet"/>
      </w:pPr>
      <w:r>
        <w:rPr>
          <w:rFonts w:ascii="Times New Roman" w:hAnsi="Times New Roman" w:eastAsia="微软雅黑" w:cs="Times New Roman"/>
        </w:rPr>
        <w:t>**Clean price**：不含应计利息的报价。</w:t>
      </w:r>
    </w:p>
    <w:p>
      <w:pPr>
        <w:pStyle w:val="ListBullet"/>
      </w:pPr>
      <w:r>
        <w:rPr>
          <w:rFonts w:ascii="Times New Roman" w:hAnsi="Times New Roman" w:eastAsia="微软雅黑" w:cs="Times New Roman"/>
        </w:rPr>
        <w:t>**Accrued interest**：卖方从上次付息日到结算日赚取的票息。</w:t>
      </w:r>
    </w:p>
    <w:p>
      <w:pPr>
        <w:pStyle w:val="ListBullet"/>
      </w:pPr>
      <w:r>
        <w:rPr>
          <w:rFonts w:ascii="Times New Roman" w:hAnsi="Times New Roman" w:eastAsia="微软雅黑" w:cs="Times New Roman"/>
        </w:rPr>
        <w:t>**Dirty/full price**：实际结算价格，等于 clean price 加 accrued interest。</w:t>
      </w:r>
    </w:p>
    <w:p>
      <w:r>
        <w:rPr>
          <w:rFonts w:ascii="Times New Roman" w:hAnsi="Times New Roman" w:eastAsia="微软雅黑" w:cs="Times New Roman"/>
        </w:rPr>
        <w:t>Treasury 常使用 actual/actual 日数规则；公司债、市政债和部分机构债通常使用 30/360。结算日处在两个付息日之间时，现金流折现期数含有分数期。</w:t>
      </w:r>
    </w:p>
    <w:p>
      <w:pPr>
        <w:pStyle w:val="Heading2"/>
      </w:pPr>
      <w:r>
        <w:rPr>
          <w:rFonts w:ascii="Times New Roman" w:hAnsi="Times New Roman" w:eastAsia="微软雅黑" w:cs="Times New Roman"/>
        </w:rPr>
        <w:t>3.3 浮息债和反向浮息债</w:t>
      </w:r>
    </w:p>
    <w:p>
      <w:r>
        <w:rPr>
          <w:rFonts w:ascii="Times New Roman" w:hAnsi="Times New Roman" w:eastAsia="微软雅黑" w:cs="Times New Roman"/>
        </w:rPr>
        <w:t>浮息债票息随参考利率调整，若报价利差与市场要求利差一致，重定价日价格趋近面值。其利率敏感性通常近似取决于距下次重定价日的时间。</w:t>
      </w:r>
    </w:p>
    <w:p>
      <w:r>
        <w:rPr>
          <w:rFonts w:ascii="Times New Roman" w:hAnsi="Times New Roman" w:eastAsia="微软雅黑" w:cs="Times New Roman"/>
        </w:rPr>
        <w:t>固定利率 collateral 可拆分为 floater 与 inverse floater，因此：</w:t>
      </w:r>
    </w:p>
    <w:p>
      <w:r>
        <w:rPr>
          <w:rFonts w:ascii="Times New Roman" w:hAnsi="Times New Roman" w:eastAsia="微软雅黑" w:cs="Times New Roman"/>
          <w:sz w:val="19"/>
        </w:rPr>
        <w:t>P(collateral) = P(floater) + P(inverse floater)</w:t>
      </w:r>
      <w:r>
        <w:rPr>
          <w:rFonts w:ascii="Times New Roman" w:hAnsi="Times New Roman" w:eastAsia="微软雅黑" w:cs="Times New Roman"/>
        </w:rPr>
        <w:t>。</w:t>
      </w:r>
    </w:p>
    <w:p>
      <w:pPr>
        <w:pStyle w:val="Heading1"/>
      </w:pPr>
      <w:r>
        <w:rPr>
          <w:rFonts w:ascii="Times New Roman" w:hAnsi="Times New Roman" w:eastAsia="微软雅黑" w:cs="Times New Roman"/>
        </w:rPr>
        <w:t>Topic 4 收益率和总回报</w:t>
      </w:r>
    </w:p>
    <w:p>
      <w:pPr>
        <w:pStyle w:val="Heading2"/>
      </w:pPr>
      <w:r>
        <w:rPr>
          <w:rFonts w:ascii="Times New Roman" w:hAnsi="Times New Roman" w:eastAsia="微软雅黑" w:cs="Times New Roman"/>
        </w:rPr>
        <w:t>4.1 常用收益率</w:t>
      </w:r>
    </w:p>
    <w:p>
      <w:pPr>
        <w:pStyle w:val="ListBullet"/>
      </w:pPr>
      <w:r>
        <w:rPr>
          <w:rFonts w:ascii="Times New Roman" w:hAnsi="Times New Roman" w:eastAsia="微软雅黑" w:cs="Times New Roman"/>
        </w:rPr>
        <w:t>**Current yield**：年现金票息除以市场价格，不计资本利得和时间价值。</w:t>
      </w:r>
    </w:p>
    <w:p>
      <w:pPr>
        <w:pStyle w:val="ListBullet"/>
      </w:pPr>
      <w:r>
        <w:rPr>
          <w:rFonts w:ascii="Times New Roman" w:hAnsi="Times New Roman" w:eastAsia="微软雅黑" w:cs="Times New Roman"/>
        </w:rPr>
        <w:t>**YTM**：使承诺现金流现值等于债券价格的收益率，假设持有至到期并按该收益率再投资。</w:t>
      </w:r>
    </w:p>
    <w:p>
      <w:pPr>
        <w:pStyle w:val="ListBullet"/>
      </w:pPr>
      <w:r>
        <w:rPr>
          <w:rFonts w:ascii="Times New Roman" w:hAnsi="Times New Roman" w:eastAsia="微软雅黑" w:cs="Times New Roman"/>
        </w:rPr>
        <w:t>**YTC**：以赎回日和赎回价格替代到期日和面值。</w:t>
      </w:r>
    </w:p>
    <w:p>
      <w:pPr>
        <w:pStyle w:val="ListBullet"/>
      </w:pPr>
      <w:r>
        <w:rPr>
          <w:rFonts w:ascii="Times New Roman" w:hAnsi="Times New Roman" w:eastAsia="微软雅黑" w:cs="Times New Roman"/>
        </w:rPr>
        <w:t>**YTP**：以回售日和回售价格计算。</w:t>
      </w:r>
    </w:p>
    <w:p>
      <w:pPr>
        <w:pStyle w:val="ListBullet"/>
      </w:pPr>
      <w:r>
        <w:rPr>
          <w:rFonts w:ascii="Times New Roman" w:hAnsi="Times New Roman" w:eastAsia="微软雅黑" w:cs="Times New Roman"/>
        </w:rPr>
        <w:t>**YTW**：投资者可能获得的各个收益率中的最低值。</w:t>
      </w:r>
    </w:p>
    <w:p>
      <w:pPr>
        <w:pStyle w:val="ListBullet"/>
      </w:pPr>
      <w:r>
        <w:rPr>
          <w:rFonts w:ascii="Times New Roman" w:hAnsi="Times New Roman" w:eastAsia="微软雅黑" w:cs="Times New Roman"/>
        </w:rPr>
        <w:t>**BEY**：半年复利收益率的年化报价。</w:t>
      </w:r>
    </w:p>
    <w:p>
      <w:pPr>
        <w:pStyle w:val="ListBullet"/>
      </w:pPr>
      <w:r>
        <w:rPr>
          <w:rFonts w:ascii="Times New Roman" w:hAnsi="Times New Roman" w:eastAsia="微软雅黑" w:cs="Times New Roman"/>
        </w:rPr>
        <w:t>**EAY**：考虑年内复利后的实际年收益率。</w:t>
      </w:r>
    </w:p>
    <w:p>
      <w:r>
        <w:rPr>
          <w:rFonts w:ascii="Times New Roman" w:hAnsi="Times New Roman" w:eastAsia="微软雅黑" w:cs="Times New Roman"/>
        </w:rPr>
        <w:t>溢价债通常 current yield 低于 coupon rate、但高于 YTM；折价债通常 current yield 高于 coupon rate、但低于 YTM。最终关系仍应结合现金流判断。</w:t>
      </w:r>
    </w:p>
    <w:p>
      <w:pPr>
        <w:pStyle w:val="Heading2"/>
      </w:pPr>
      <w:r>
        <w:rPr>
          <w:rFonts w:ascii="Times New Roman" w:hAnsi="Times New Roman" w:eastAsia="微软雅黑" w:cs="Times New Roman"/>
        </w:rPr>
        <w:t>4.2 浮息债收益指标</w:t>
      </w:r>
    </w:p>
    <w:p>
      <w:pPr>
        <w:pStyle w:val="ListBullet"/>
      </w:pPr>
      <w:r>
        <w:rPr>
          <w:rFonts w:ascii="Times New Roman" w:hAnsi="Times New Roman" w:eastAsia="微软雅黑" w:cs="Times New Roman"/>
        </w:rPr>
        <w:t>**Quoted margin**：票息相对参考利率的固定加点。</w:t>
      </w:r>
    </w:p>
    <w:p>
      <w:pPr>
        <w:pStyle w:val="ListBullet"/>
      </w:pPr>
      <w:r>
        <w:rPr>
          <w:rFonts w:ascii="Times New Roman" w:hAnsi="Times New Roman" w:eastAsia="微软雅黑" w:cs="Times New Roman"/>
        </w:rPr>
        <w:t>**Discount margin**：使预期浮动现金流现值等于市场价格的利差。</w:t>
      </w:r>
    </w:p>
    <w:p>
      <w:pPr>
        <w:pStyle w:val="ListBullet"/>
      </w:pPr>
      <w:r>
        <w:rPr>
          <w:rFonts w:ascii="Times New Roman" w:hAnsi="Times New Roman" w:eastAsia="微软雅黑" w:cs="Times New Roman"/>
        </w:rPr>
        <w:t>**Spread for life**：把报价利差和债券从当前价格回归面值产生的年化资本利得或损失合并。</w:t>
      </w:r>
    </w:p>
    <w:p>
      <w:r>
        <w:rPr>
          <w:rFonts w:ascii="Times New Roman" w:hAnsi="Times New Roman" w:eastAsia="微软雅黑" w:cs="Times New Roman"/>
        </w:rPr>
        <w:t>当浮息债低于面值交易时，回归面值带来资本利得，所以 discount margin 通常高于 quoted margin。</w:t>
      </w:r>
    </w:p>
    <w:p>
      <w:pPr>
        <w:pStyle w:val="Heading2"/>
      </w:pPr>
      <w:r>
        <w:rPr>
          <w:rFonts w:ascii="Times New Roman" w:hAnsi="Times New Roman" w:eastAsia="微软雅黑" w:cs="Times New Roman"/>
        </w:rPr>
        <w:t>4.3 Spot rate、组合收益率和总回报</w:t>
      </w:r>
    </w:p>
    <w:p>
      <w:r>
        <w:rPr>
          <w:rFonts w:ascii="Times New Roman" w:hAnsi="Times New Roman" w:eastAsia="微软雅黑" w:cs="Times New Roman"/>
        </w:rPr>
        <w:t>Spot rate 是零息现金流对应期限的折现率。可由零息证券直接观察，或由附息债逐期 bootstrapping 得到。债券组合的收益率可通过汇总组合现金流，再求使其现值等于组合价值的内部收益率获得。</w:t>
      </w:r>
    </w:p>
    <w:p>
      <w:r>
        <w:rPr>
          <w:rFonts w:ascii="Times New Roman" w:hAnsi="Times New Roman" w:eastAsia="微软雅黑" w:cs="Times New Roman"/>
        </w:rPr>
        <w:t>总回报应考虑：收到的票息、票息再投资收入、持有期末卖出或到期价值，以及初始投资。YTM 只有在持有至到期、无违约且票息能按 YTM 再投资时才等于实现收益率。</w:t>
      </w:r>
    </w:p>
    <w:p>
      <w:pPr>
        <w:pStyle w:val="Heading1"/>
      </w:pPr>
      <w:r>
        <w:rPr>
          <w:rFonts w:ascii="Times New Roman" w:hAnsi="Times New Roman" w:eastAsia="微软雅黑" w:cs="Times New Roman"/>
        </w:rPr>
        <w:t>Topic 5 价格波动、久期和凸性</w:t>
      </w:r>
    </w:p>
    <w:p>
      <w:pPr>
        <w:pStyle w:val="Heading2"/>
      </w:pPr>
      <w:r>
        <w:rPr>
          <w:rFonts w:ascii="Times New Roman" w:hAnsi="Times New Roman" w:eastAsia="微软雅黑" w:cs="Times New Roman"/>
        </w:rPr>
        <w:t>5.1 债券价格波动规律</w:t>
      </w:r>
    </w:p>
    <w:p>
      <w:pPr>
        <w:pStyle w:val="ListNumber"/>
      </w:pPr>
      <w:r>
        <w:rPr>
          <w:rFonts w:ascii="Times New Roman" w:hAnsi="Times New Roman" w:eastAsia="微软雅黑" w:cs="Times New Roman"/>
        </w:rPr>
        <w:t>债券价格与收益率反向变化。</w:t>
      </w:r>
    </w:p>
    <w:p>
      <w:pPr>
        <w:pStyle w:val="ListNumber"/>
      </w:pPr>
      <w:r>
        <w:rPr>
          <w:rFonts w:ascii="Times New Roman" w:hAnsi="Times New Roman" w:eastAsia="微软雅黑" w:cs="Times New Roman"/>
        </w:rPr>
        <w:t>相同收益率变动下，收益率下降引起的价格上涨通常大于收益率上升引起的价格下降。</w:t>
      </w:r>
    </w:p>
    <w:p>
      <w:pPr>
        <w:pStyle w:val="ListNumber"/>
      </w:pPr>
      <w:r>
        <w:rPr>
          <w:rFonts w:ascii="Times New Roman" w:hAnsi="Times New Roman" w:eastAsia="微软雅黑" w:cs="Times New Roman"/>
        </w:rPr>
        <w:t>期限越长，价格敏感性通常越大，但增加速度递减。</w:t>
      </w:r>
    </w:p>
    <w:p>
      <w:pPr>
        <w:pStyle w:val="ListNumber"/>
      </w:pPr>
      <w:r>
        <w:rPr>
          <w:rFonts w:ascii="Times New Roman" w:hAnsi="Times New Roman" w:eastAsia="微软雅黑" w:cs="Times New Roman"/>
        </w:rPr>
        <w:t>票息越低，价格敏感性通常越大。</w:t>
      </w:r>
    </w:p>
    <w:p>
      <w:pPr>
        <w:pStyle w:val="ListNumber"/>
      </w:pPr>
      <w:r>
        <w:rPr>
          <w:rFonts w:ascii="Times New Roman" w:hAnsi="Times New Roman" w:eastAsia="微软雅黑" w:cs="Times New Roman"/>
        </w:rPr>
        <w:t>初始收益率越低，价格敏感性通常越大。</w:t>
      </w:r>
    </w:p>
    <w:p>
      <w:r>
        <w:rPr>
          <w:rFonts w:ascii="Times New Roman" w:hAnsi="Times New Roman" w:eastAsia="微软雅黑" w:cs="Times New Roman"/>
        </w:rPr>
        <w:t>比较两只债券时，期限和票息可能产生相反作用；若信息不足，不能只凭单一特征判断风险大小。零息债的 Macaulay duration 等于其到期期限。</w:t>
      </w:r>
    </w:p>
    <w:p>
      <w:pPr>
        <w:pStyle w:val="Heading2"/>
      </w:pPr>
      <w:r>
        <w:rPr>
          <w:rFonts w:ascii="Times New Roman" w:hAnsi="Times New Roman" w:eastAsia="微软雅黑" w:cs="Times New Roman"/>
        </w:rPr>
        <w:t>5.2 Full valuation 与 PVBP</w:t>
      </w:r>
    </w:p>
    <w:p>
      <w:r>
        <w:rPr>
          <w:rFonts w:ascii="Times New Roman" w:hAnsi="Times New Roman" w:eastAsia="微软雅黑" w:cs="Times New Roman"/>
        </w:rPr>
        <w:t>Full valuation 直接在新的收益率或收益率曲线下重新计算每项现金流现值，可处理平行和非平行变化。Scenario analysis 与 stress testing 使用不同利率变动情景观察组合价值。</w:t>
      </w:r>
    </w:p>
    <w:p>
      <w:r>
        <w:rPr>
          <w:rFonts w:ascii="Times New Roman" w:hAnsi="Times New Roman" w:eastAsia="微软雅黑" w:cs="Times New Roman"/>
        </w:rPr>
        <w:t>PVBP 表示收益率变动 1 bp 时的价格变化。Yield value of a price change 从相反方向度量价格变化对应的收益率变化。</w:t>
      </w:r>
    </w:p>
    <w:p>
      <w:pPr>
        <w:pStyle w:val="Heading2"/>
      </w:pPr>
      <w:r>
        <w:rPr>
          <w:rFonts w:ascii="Times New Roman" w:hAnsi="Times New Roman" w:eastAsia="微软雅黑" w:cs="Times New Roman"/>
        </w:rPr>
        <w:t>5.3 Duration</w:t>
      </w:r>
    </w:p>
    <w:p>
      <w:pPr>
        <w:pStyle w:val="ListBullet"/>
      </w:pPr>
      <w:r>
        <w:rPr>
          <w:rFonts w:ascii="Times New Roman" w:hAnsi="Times New Roman" w:eastAsia="微软雅黑" w:cs="Times New Roman"/>
        </w:rPr>
        <w:t>**Macaulay duration**：各期现金流时间以其现值占债券价格的比例加权后的平均时间。</w:t>
      </w:r>
    </w:p>
    <w:p>
      <w:pPr>
        <w:pStyle w:val="ListBullet"/>
      </w:pPr>
      <w:r>
        <w:rPr>
          <w:rFonts w:ascii="Times New Roman" w:hAnsi="Times New Roman" w:eastAsia="微软雅黑" w:cs="Times New Roman"/>
        </w:rPr>
        <w:t>**Modified duration**：衡量收益率小幅变化引起的价格百分比变化。</w:t>
      </w:r>
    </w:p>
    <w:p>
      <w:pPr>
        <w:pStyle w:val="ListBullet"/>
      </w:pPr>
      <w:r>
        <w:rPr>
          <w:rFonts w:ascii="Times New Roman" w:hAnsi="Times New Roman" w:eastAsia="微软雅黑" w:cs="Times New Roman"/>
        </w:rPr>
        <w:t>**Dollar duration**：Modified duration 乘以债券价格。</w:t>
      </w:r>
    </w:p>
    <w:p>
      <w:pPr>
        <w:pStyle w:val="ListBullet"/>
      </w:pPr>
      <w:r>
        <w:rPr>
          <w:rFonts w:ascii="Times New Roman" w:hAnsi="Times New Roman" w:eastAsia="微软雅黑" w:cs="Times New Roman"/>
        </w:rPr>
        <w:t>**Portfolio duration**：各债券 duration 按市场价值权重加权。</w:t>
      </w:r>
    </w:p>
    <w:p>
      <w:r>
        <w:rPr>
          <w:rFonts w:ascii="Times New Roman" w:hAnsi="Times New Roman" w:eastAsia="微软雅黑" w:cs="Times New Roman"/>
        </w:rPr>
        <w:t>Duration 是一阶线性近似，收益率变化越大或曲率越强，误差越明显。</w:t>
      </w:r>
    </w:p>
    <w:p>
      <w:pPr>
        <w:pStyle w:val="Heading2"/>
      </w:pPr>
      <w:r>
        <w:rPr>
          <w:rFonts w:ascii="Times New Roman" w:hAnsi="Times New Roman" w:eastAsia="微软雅黑" w:cs="Times New Roman"/>
        </w:rPr>
        <w:t>5.4 Convexity</w:t>
      </w:r>
    </w:p>
    <w:p>
      <w:r>
        <w:rPr>
          <w:rFonts w:ascii="Times New Roman" w:hAnsi="Times New Roman" w:eastAsia="微软雅黑" w:cs="Times New Roman"/>
        </w:rPr>
        <w:t>Convexity 描述价格—收益率曲线的弯曲程度。普通无期权债券通常具有正凸性。加入凸性后：</w:t>
      </w:r>
    </w:p>
    <w:p>
      <w:r>
        <w:rPr>
          <w:rFonts w:ascii="Times New Roman" w:hAnsi="Times New Roman" w:eastAsia="微软雅黑" w:cs="Times New Roman"/>
          <w:sz w:val="19"/>
        </w:rPr>
        <w:t>价格百分比变化 ≈ Duration effect + Convexity effect</w:t>
      </w:r>
      <w:r>
        <w:rPr>
          <w:rFonts w:ascii="Times New Roman" w:hAnsi="Times New Roman" w:eastAsia="微软雅黑" w:cs="Times New Roman"/>
        </w:rPr>
        <w:t>。</w:t>
      </w:r>
    </w:p>
    <w:p>
      <w:r>
        <w:rPr>
          <w:rFonts w:ascii="Times New Roman" w:hAnsi="Times New Roman" w:eastAsia="微软雅黑" w:cs="Times New Roman"/>
        </w:rPr>
        <w:t>对于正凸性债券，凸性修正提高收益率下降时估计的价格涨幅，并减小收益率上升时估计的价格跌幅。</w:t>
      </w:r>
    </w:p>
    <w:p>
      <w:pPr>
        <w:pStyle w:val="Heading1"/>
      </w:pPr>
      <w:r>
        <w:rPr>
          <w:rFonts w:ascii="Times New Roman" w:hAnsi="Times New Roman" w:eastAsia="微软雅黑" w:cs="Times New Roman"/>
        </w:rPr>
        <w:t>Topic 6 含权债券</w:t>
      </w:r>
    </w:p>
    <w:p>
      <w:pPr>
        <w:pStyle w:val="Heading2"/>
      </w:pPr>
      <w:r>
        <w:rPr>
          <w:rFonts w:ascii="Times New Roman" w:hAnsi="Times New Roman" w:eastAsia="微软雅黑" w:cs="Times New Roman"/>
        </w:rPr>
        <w:t>6.1 价格关系</w:t>
      </w:r>
    </w:p>
    <w:p>
      <w:pPr>
        <w:pStyle w:val="ListBullet"/>
      </w:pPr>
      <w:r>
        <w:rPr>
          <w:rFonts w:ascii="Times New Roman" w:hAnsi="Times New Roman" w:eastAsia="微软雅黑" w:cs="Times New Roman"/>
        </w:rPr>
        <w:t>Callable bond value = Option-free bond value − Call option value；</w:t>
      </w:r>
    </w:p>
    <w:p>
      <w:pPr>
        <w:pStyle w:val="ListBullet"/>
      </w:pPr>
      <w:r>
        <w:rPr>
          <w:rFonts w:ascii="Times New Roman" w:hAnsi="Times New Roman" w:eastAsia="微软雅黑" w:cs="Times New Roman"/>
        </w:rPr>
        <w:t>Putable bond value = Option-free bond value + Put option value。</w:t>
      </w:r>
    </w:p>
    <w:p>
      <w:r>
        <w:rPr>
          <w:rFonts w:ascii="Times New Roman" w:hAnsi="Times New Roman" w:eastAsia="微软雅黑" w:cs="Times New Roman"/>
        </w:rPr>
        <w:t>因此，在其他条件相同的情况下：</w:t>
      </w:r>
    </w:p>
    <w:p>
      <w:r>
        <w:rPr>
          <w:rFonts w:ascii="Times New Roman" w:hAnsi="Times New Roman" w:eastAsia="微软雅黑" w:cs="Times New Roman"/>
          <w:sz w:val="19"/>
        </w:rPr>
        <w:t>Callable &lt; Option-free &lt; Putable</w:t>
      </w:r>
      <w:r>
        <w:rPr>
          <w:rFonts w:ascii="Times New Roman" w:hAnsi="Times New Roman" w:eastAsia="微软雅黑" w:cs="Times New Roman"/>
        </w:rPr>
        <w:t>。</w:t>
      </w:r>
    </w:p>
    <w:p>
      <w:pPr>
        <w:pStyle w:val="Heading2"/>
      </w:pPr>
      <w:r>
        <w:rPr>
          <w:rFonts w:ascii="Times New Roman" w:hAnsi="Times New Roman" w:eastAsia="微软雅黑" w:cs="Times New Roman"/>
        </w:rPr>
        <w:t>6.2 Callable bond 的表现</w:t>
      </w:r>
    </w:p>
    <w:p>
      <w:r>
        <w:rPr>
          <w:rFonts w:ascii="Times New Roman" w:hAnsi="Times New Roman" w:eastAsia="微软雅黑" w:cs="Times New Roman"/>
        </w:rPr>
        <w:t>利率下降时，赎回可能性增加，call option 对发行人的价值上升，callable bond 的价格上涨受到压缩。投资者还面临赎回后以较低利率再投资的风险。价格—收益率曲线在赎回可能性较高的区域可能表现为负凸性。</w:t>
      </w:r>
    </w:p>
    <w:p>
      <w:r>
        <w:rPr>
          <w:rFonts w:ascii="Times New Roman" w:hAnsi="Times New Roman" w:eastAsia="微软雅黑" w:cs="Times New Roman"/>
        </w:rPr>
        <w:t>Putable bond 的回售权为价格提供下方保护，因此价值不低于相同的 non-putable bond。</w:t>
      </w:r>
    </w:p>
    <w:p>
      <w:pPr>
        <w:pStyle w:val="Heading2"/>
      </w:pPr>
      <w:r>
        <w:rPr>
          <w:rFonts w:ascii="Times New Roman" w:hAnsi="Times New Roman" w:eastAsia="微软雅黑" w:cs="Times New Roman"/>
        </w:rPr>
        <w:t>6.3 利差与期权调整</w:t>
      </w:r>
    </w:p>
    <w:p>
      <w:pPr>
        <w:pStyle w:val="ListBullet"/>
      </w:pPr>
      <w:r>
        <w:rPr>
          <w:rFonts w:ascii="Times New Roman" w:hAnsi="Times New Roman" w:eastAsia="微软雅黑" w:cs="Times New Roman"/>
        </w:rPr>
        <w:t>**Traditional spread**：债券 YTM 与某个基准收益率的差。</w:t>
      </w:r>
    </w:p>
    <w:p>
      <w:pPr>
        <w:pStyle w:val="ListBullet"/>
      </w:pPr>
      <w:r>
        <w:rPr>
          <w:rFonts w:ascii="Times New Roman" w:hAnsi="Times New Roman" w:eastAsia="微软雅黑" w:cs="Times New Roman"/>
        </w:rPr>
        <w:t>**Static/Z-spread**：加到各期 Treasury spot rate 上，使现金流现值等于市场价格的固定利差。</w:t>
      </w:r>
    </w:p>
    <w:p>
      <w:pPr>
        <w:pStyle w:val="ListBullet"/>
      </w:pPr>
      <w:r>
        <w:rPr>
          <w:rFonts w:ascii="Times New Roman" w:hAnsi="Times New Roman" w:eastAsia="微软雅黑" w:cs="Times New Roman"/>
        </w:rPr>
        <w:t>**OAS**：从含权债券利差中剔除嵌入期权影响后的利差。</w:t>
      </w:r>
    </w:p>
    <w:p>
      <w:r>
        <w:rPr>
          <w:rFonts w:ascii="Times New Roman" w:hAnsi="Times New Roman" w:eastAsia="微软雅黑" w:cs="Times New Roman"/>
        </w:rPr>
        <w:t xml:space="preserve">对 callable bond，通常有 </w:t>
      </w:r>
      <w:r>
        <w:rPr>
          <w:rFonts w:ascii="Times New Roman" w:hAnsi="Times New Roman" w:eastAsia="微软雅黑" w:cs="Times New Roman"/>
          <w:sz w:val="19"/>
        </w:rPr>
        <w:t>Z-spread = OAS + call option cost</w:t>
      </w:r>
      <w:r>
        <w:rPr>
          <w:rFonts w:ascii="Times New Roman" w:hAnsi="Times New Roman" w:eastAsia="微软雅黑" w:cs="Times New Roman"/>
        </w:rPr>
        <w:t>，所以 OAS 小于 Z-spread。对 putable bond，投资者持有期权，比较时必须保留期权成本的符号，不能机械套用 callable bond 的关系。</w:t>
      </w:r>
    </w:p>
    <w:p>
      <w:r>
        <w:rPr>
          <w:rFonts w:ascii="Times New Roman" w:hAnsi="Times New Roman" w:eastAsia="微软雅黑" w:cs="Times New Roman"/>
        </w:rPr>
        <w:t>含权债券可在利率二叉树中逐节点贴现；callable bond 在可赎回节点的价值不能高于 call price。</w:t>
      </w:r>
    </w:p>
    <w:p>
      <w:pPr>
        <w:pStyle w:val="Heading1"/>
      </w:pPr>
      <w:r>
        <w:rPr>
          <w:rFonts w:ascii="Times New Roman" w:hAnsi="Times New Roman" w:eastAsia="微软雅黑" w:cs="Times New Roman"/>
        </w:rPr>
        <w:t>Topic 7 可转换债券</w:t>
      </w:r>
    </w:p>
    <w:p>
      <w:pPr>
        <w:pStyle w:val="Heading2"/>
      </w:pPr>
      <w:r>
        <w:rPr>
          <w:rFonts w:ascii="Times New Roman" w:hAnsi="Times New Roman" w:eastAsia="微软雅黑" w:cs="Times New Roman"/>
        </w:rPr>
        <w:t>7.1 核心指标</w:t>
      </w:r>
    </w:p>
    <w:p>
      <w:pPr>
        <w:pStyle w:val="ListBullet"/>
      </w:pPr>
      <w:r>
        <w:rPr>
          <w:rFonts w:ascii="Times New Roman" w:hAnsi="Times New Roman" w:eastAsia="微软雅黑" w:cs="Times New Roman"/>
        </w:rPr>
        <w:t>Conversion ratio：每只债券可转换的股票数量；</w:t>
      </w:r>
    </w:p>
    <w:p>
      <w:pPr>
        <w:pStyle w:val="ListBullet"/>
      </w:pPr>
      <w:r>
        <w:rPr>
          <w:rFonts w:ascii="Times New Roman" w:hAnsi="Times New Roman" w:eastAsia="微软雅黑" w:cs="Times New Roman"/>
        </w:rPr>
        <w:t>Conversion price：面值除以 conversion ratio；</w:t>
      </w:r>
    </w:p>
    <w:p>
      <w:pPr>
        <w:pStyle w:val="ListBullet"/>
      </w:pPr>
      <w:r>
        <w:rPr>
          <w:rFonts w:ascii="Times New Roman" w:hAnsi="Times New Roman" w:eastAsia="微软雅黑" w:cs="Times New Roman"/>
        </w:rPr>
        <w:t>Conversion value：当前股价乘以 conversion ratio；</w:t>
      </w:r>
    </w:p>
    <w:p>
      <w:pPr>
        <w:pStyle w:val="ListBullet"/>
      </w:pPr>
      <w:r>
        <w:rPr>
          <w:rFonts w:ascii="Times New Roman" w:hAnsi="Times New Roman" w:eastAsia="微软雅黑" w:cs="Times New Roman"/>
        </w:rPr>
        <w:t>Straight value：把可转债视为不可转换普通债券的价值；</w:t>
      </w:r>
    </w:p>
    <w:p>
      <w:pPr>
        <w:pStyle w:val="ListBullet"/>
      </w:pPr>
      <w:r>
        <w:rPr>
          <w:rFonts w:ascii="Times New Roman" w:hAnsi="Times New Roman" w:eastAsia="微软雅黑" w:cs="Times New Roman"/>
        </w:rPr>
        <w:t>Minimum value：conversion value 与 straight value 中较大者。</w:t>
      </w:r>
    </w:p>
    <w:p>
      <w:r>
        <w:rPr>
          <w:rFonts w:ascii="Times New Roman" w:hAnsi="Times New Roman" w:eastAsia="微软雅黑" w:cs="Times New Roman"/>
        </w:rPr>
        <w:t>还需计算 market conversion price、market conversion premium per share、market conversion premium ratio、premium payback period 和 premium over straight value。</w:t>
      </w:r>
    </w:p>
    <w:p>
      <w:pPr>
        <w:pStyle w:val="Heading2"/>
      </w:pPr>
      <w:r>
        <w:rPr>
          <w:rFonts w:ascii="Times New Roman" w:hAnsi="Times New Roman" w:eastAsia="微软雅黑" w:cs="Times New Roman"/>
        </w:rPr>
        <w:t>7.2 风险轮廓与套利</w:t>
      </w:r>
    </w:p>
    <w:p>
      <w:r>
        <w:rPr>
          <w:rFonts w:ascii="Times New Roman" w:hAnsi="Times New Roman" w:eastAsia="微软雅黑" w:cs="Times New Roman"/>
        </w:rPr>
        <w:t>可转债可按现金票息、零息/折价、优先股、强制转换等类型分类；按信用质量可分投资级、中间级、垃圾级和未评级；按股性可表现为典型、股性敏感、busted 或 distressed。</w:t>
      </w:r>
    </w:p>
    <w:p>
      <w:r>
        <w:rPr>
          <w:rFonts w:ascii="Times New Roman" w:hAnsi="Times New Roman" w:eastAsia="微软雅黑" w:cs="Times New Roman"/>
        </w:rPr>
        <w:t>convertible arbitrage 基本结构是做多可转债、做空相关股票。较理想的可转债特征包括流动性好、转换溢价低、凸性高、隐含波动率低；相关股票最好预期波动率较高、容易借入且股息较低。</w:t>
      </w:r>
    </w:p>
    <w:p>
      <w:pPr>
        <w:pStyle w:val="Heading1"/>
      </w:pPr>
      <w:r>
        <w:rPr>
          <w:rFonts w:ascii="Times New Roman" w:hAnsi="Times New Roman" w:eastAsia="微软雅黑" w:cs="Times New Roman"/>
        </w:rPr>
        <w:t>Topic 8 期货</w:t>
      </w:r>
    </w:p>
    <w:p>
      <w:pPr>
        <w:pStyle w:val="Heading2"/>
      </w:pPr>
      <w:r>
        <w:rPr>
          <w:rFonts w:ascii="Times New Roman" w:hAnsi="Times New Roman" w:eastAsia="微软雅黑" w:cs="Times New Roman"/>
        </w:rPr>
        <w:t>8.1 基本机制</w:t>
      </w:r>
    </w:p>
    <w:p>
      <w:r>
        <w:rPr>
          <w:rFonts w:ascii="Times New Roman" w:hAnsi="Times New Roman" w:eastAsia="微软雅黑" w:cs="Times New Roman"/>
        </w:rPr>
        <w:t>期货交易实行保证金和逐日盯市。多头在期货价格上涨时获利，空头在期货价格下跌时获利。</w:t>
      </w:r>
    </w:p>
    <w:p>
      <w:pPr>
        <w:pStyle w:val="Heading2"/>
      </w:pPr>
      <w:r>
        <w:rPr>
          <w:rFonts w:ascii="Times New Roman" w:hAnsi="Times New Roman" w:eastAsia="微软雅黑" w:cs="Times New Roman"/>
        </w:rPr>
        <w:t>8.2 Eurodollar futures</w:t>
      </w:r>
    </w:p>
    <w:p>
      <w:r>
        <w:rPr>
          <w:rFonts w:ascii="Times New Roman" w:hAnsi="Times New Roman" w:eastAsia="微软雅黑" w:cs="Times New Roman"/>
        </w:rPr>
        <w:t>课程中的 Eurodollar futures 使用指数：</w:t>
      </w:r>
    </w:p>
    <w:p>
      <w:r>
        <w:rPr>
          <w:rFonts w:ascii="Times New Roman" w:hAnsi="Times New Roman" w:eastAsia="微软雅黑" w:cs="Times New Roman"/>
          <w:sz w:val="19"/>
        </w:rPr>
        <w:t>Futures index = 100 − annualized three-month rate</w:t>
      </w:r>
      <w:r>
        <w:rPr>
          <w:rFonts w:ascii="Times New Roman" w:hAnsi="Times New Roman" w:eastAsia="微软雅黑" w:cs="Times New Roman"/>
        </w:rPr>
        <w:t>。</w:t>
      </w:r>
    </w:p>
    <w:p>
      <w:r>
        <w:rPr>
          <w:rFonts w:ascii="Times New Roman" w:hAnsi="Times New Roman" w:eastAsia="微软雅黑" w:cs="Times New Roman"/>
        </w:rPr>
        <w:t>利率上升时指数下降。合约名义本金为 1,000,000 美元、期限三个月时，1 bp 价值为 25 美元，半个 bp 为 12.5 美元。</w:t>
      </w:r>
    </w:p>
    <w:p>
      <w:pPr>
        <w:pStyle w:val="Heading2"/>
      </w:pPr>
      <w:r>
        <w:rPr>
          <w:rFonts w:ascii="Times New Roman" w:hAnsi="Times New Roman" w:eastAsia="微软雅黑" w:cs="Times New Roman"/>
        </w:rPr>
        <w:t>8.3 Treasury futures</w:t>
      </w:r>
    </w:p>
    <w:p>
      <w:r>
        <w:rPr>
          <w:rFonts w:ascii="Times New Roman" w:hAnsi="Times New Roman" w:eastAsia="微软雅黑" w:cs="Times New Roman"/>
        </w:rPr>
        <w:t>Treasury futures 常按 32 分之一报价。例如 97-16 表示 97 + 16/32，即面值的 97.5%。面值 100,000 美元时，一个 32 分之一价值为 3,125 美元。交割发票价格为：</w:t>
      </w:r>
    </w:p>
    <w:p>
      <w:r>
        <w:rPr>
          <w:rFonts w:ascii="Times New Roman" w:hAnsi="Times New Roman" w:eastAsia="微软雅黑" w:cs="Times New Roman"/>
          <w:sz w:val="19"/>
        </w:rPr>
        <w:t>Invoice price = Futures price × Conversion factor + Accrued interest</w:t>
      </w:r>
      <w:r>
        <w:rPr>
          <w:rFonts w:ascii="Times New Roman" w:hAnsi="Times New Roman" w:eastAsia="微软雅黑" w:cs="Times New Roman"/>
        </w:rPr>
        <w:t>。</w:t>
      </w:r>
    </w:p>
    <w:p>
      <w:pPr>
        <w:pStyle w:val="Heading1"/>
      </w:pPr>
      <w:r>
        <w:rPr>
          <w:rFonts w:ascii="Times New Roman" w:hAnsi="Times New Roman" w:eastAsia="微软雅黑" w:cs="Times New Roman"/>
        </w:rPr>
        <w:t>Topic 9 资产支持证券</w:t>
      </w:r>
    </w:p>
    <w:p>
      <w:pPr>
        <w:pStyle w:val="Heading2"/>
      </w:pPr>
      <w:r>
        <w:rPr>
          <w:rFonts w:ascii="Times New Roman" w:hAnsi="Times New Roman" w:eastAsia="微软雅黑" w:cs="Times New Roman"/>
        </w:rPr>
        <w:t>9.1 证券化流程</w:t>
      </w:r>
    </w:p>
    <w:p>
      <w:r>
        <w:rPr>
          <w:rFonts w:ascii="Times New Roman" w:hAnsi="Times New Roman" w:eastAsia="微软雅黑" w:cs="Times New Roman"/>
        </w:rPr>
        <w:t>发起人把资产转移给 SPV，SPV 以资产池现金流为支持发行证券。证券可分成不同 tranche，并按 waterfall 规则分配利息、本金和损失。</w:t>
      </w:r>
    </w:p>
    <w:p>
      <w:pPr>
        <w:pStyle w:val="Heading2"/>
      </w:pPr>
      <w:r>
        <w:rPr>
          <w:rFonts w:ascii="Times New Roman" w:hAnsi="Times New Roman" w:eastAsia="微软雅黑" w:cs="Times New Roman"/>
        </w:rPr>
        <w:t>9.2 三类主要风险</w:t>
      </w:r>
    </w:p>
    <w:p>
      <w:pPr>
        <w:pStyle w:val="ListBullet"/>
      </w:pPr>
      <w:r>
        <w:rPr>
          <w:rFonts w:ascii="Times New Roman" w:hAnsi="Times New Roman" w:eastAsia="微软雅黑" w:cs="Times New Roman"/>
        </w:rPr>
        <w:t>**Asset risk**：基础资产违约、提前偿还、回收率或现金流表现不佳。</w:t>
      </w:r>
    </w:p>
    <w:p>
      <w:pPr>
        <w:pStyle w:val="ListBullet"/>
      </w:pPr>
      <w:r>
        <w:rPr>
          <w:rFonts w:ascii="Times New Roman" w:hAnsi="Times New Roman" w:eastAsia="微软雅黑" w:cs="Times New Roman"/>
        </w:rPr>
        <w:t>**Structural risk**：分层、触发机制、支付顺序和信用增级设计产生的风险。</w:t>
      </w:r>
    </w:p>
    <w:p>
      <w:pPr>
        <w:pStyle w:val="ListBullet"/>
      </w:pPr>
      <w:r>
        <w:rPr>
          <w:rFonts w:ascii="Times New Roman" w:hAnsi="Times New Roman" w:eastAsia="微软雅黑" w:cs="Times New Roman"/>
        </w:rPr>
        <w:t>**Third-party risk**：服务商、受托人、担保人或交易对手不能履约。</w:t>
      </w:r>
    </w:p>
    <w:p>
      <w:pPr>
        <w:pStyle w:val="Heading1"/>
      </w:pPr>
      <w:r>
        <w:rPr>
          <w:rFonts w:ascii="Times New Roman" w:hAnsi="Times New Roman" w:eastAsia="微软雅黑" w:cs="Times New Roman"/>
        </w:rPr>
        <w:t>Topic 10 债券投资组合管理</w:t>
      </w:r>
    </w:p>
    <w:p>
      <w:pPr>
        <w:pStyle w:val="Heading2"/>
      </w:pPr>
      <w:r>
        <w:rPr>
          <w:rFonts w:ascii="Times New Roman" w:hAnsi="Times New Roman" w:eastAsia="微软雅黑" w:cs="Times New Roman"/>
        </w:rPr>
        <w:t>10.1 五步投资管理流程</w:t>
      </w:r>
    </w:p>
    <w:p>
      <w:pPr>
        <w:pStyle w:val="ListNumber"/>
      </w:pPr>
      <w:r>
        <w:rPr>
          <w:rFonts w:ascii="Times New Roman" w:hAnsi="Times New Roman" w:eastAsia="微软雅黑" w:cs="Times New Roman"/>
        </w:rPr>
        <w:t>明确投资目标；</w:t>
      </w:r>
    </w:p>
    <w:p>
      <w:pPr>
        <w:pStyle w:val="ListNumber"/>
      </w:pPr>
      <w:r>
        <w:rPr>
          <w:rFonts w:ascii="Times New Roman" w:hAnsi="Times New Roman" w:eastAsia="微软雅黑" w:cs="Times New Roman"/>
        </w:rPr>
        <w:t>建立投资政策；</w:t>
      </w:r>
    </w:p>
    <w:p>
      <w:pPr>
        <w:pStyle w:val="ListNumber"/>
      </w:pPr>
      <w:r>
        <w:rPr>
          <w:rFonts w:ascii="Times New Roman" w:hAnsi="Times New Roman" w:eastAsia="微软雅黑" w:cs="Times New Roman"/>
        </w:rPr>
        <w:t>选择组合策略；</w:t>
      </w:r>
    </w:p>
    <w:p>
      <w:pPr>
        <w:pStyle w:val="ListNumber"/>
      </w:pPr>
      <w:r>
        <w:rPr>
          <w:rFonts w:ascii="Times New Roman" w:hAnsi="Times New Roman" w:eastAsia="微软雅黑" w:cs="Times New Roman"/>
        </w:rPr>
        <w:t>选择具体资产；</w:t>
      </w:r>
    </w:p>
    <w:p>
      <w:pPr>
        <w:pStyle w:val="ListNumber"/>
      </w:pPr>
      <w:r>
        <w:rPr>
          <w:rFonts w:ascii="Times New Roman" w:hAnsi="Times New Roman" w:eastAsia="微软雅黑" w:cs="Times New Roman"/>
        </w:rPr>
        <w:t>衡量和评价绩效。</w:t>
      </w:r>
    </w:p>
    <w:p>
      <w:pPr>
        <w:pStyle w:val="Heading2"/>
      </w:pPr>
      <w:r>
        <w:rPr>
          <w:rFonts w:ascii="Times New Roman" w:hAnsi="Times New Roman" w:eastAsia="微软雅黑" w:cs="Times New Roman"/>
        </w:rPr>
        <w:t>10.2 主要策略</w:t>
      </w:r>
    </w:p>
    <w:p>
      <w:pPr>
        <w:pStyle w:val="ListBullet"/>
      </w:pPr>
      <w:r>
        <w:rPr>
          <w:rFonts w:ascii="Times New Roman" w:hAnsi="Times New Roman" w:eastAsia="微软雅黑" w:cs="Times New Roman"/>
        </w:rPr>
        <w:t>**Benchmark strategy**：以复制或超过指定债券指数为目标。</w:t>
      </w:r>
    </w:p>
    <w:p>
      <w:pPr>
        <w:pStyle w:val="ListBullet"/>
      </w:pPr>
      <w:r>
        <w:rPr>
          <w:rFonts w:ascii="Times New Roman" w:hAnsi="Times New Roman" w:eastAsia="微软雅黑" w:cs="Times New Roman"/>
        </w:rPr>
        <w:t>**Absolute-return strategy**：以获得绝对正收益为目标。</w:t>
      </w:r>
    </w:p>
    <w:p>
      <w:pPr>
        <w:pStyle w:val="ListBullet"/>
      </w:pPr>
      <w:r>
        <w:rPr>
          <w:rFonts w:ascii="Times New Roman" w:hAnsi="Times New Roman" w:eastAsia="微软雅黑" w:cs="Times New Roman"/>
        </w:rPr>
        <w:t>**Liability-driven strategy**：围绕未来负债现金流和利率敏感性配置资产。</w:t>
      </w:r>
    </w:p>
    <w:p>
      <w:pPr>
        <w:pStyle w:val="ListBullet"/>
      </w:pPr>
      <w:r>
        <w:rPr>
          <w:rFonts w:ascii="Times New Roman" w:hAnsi="Times New Roman" w:eastAsia="微软雅黑" w:cs="Times New Roman"/>
        </w:rPr>
        <w:t>**Interest-rate anticipation strategy**：根据利率方向判断调整 duration。</w:t>
      </w:r>
    </w:p>
    <w:p>
      <w:pPr>
        <w:pStyle w:val="ListBullet"/>
      </w:pPr>
      <w:r>
        <w:rPr>
          <w:rFonts w:ascii="Times New Roman" w:hAnsi="Times New Roman" w:eastAsia="微软雅黑" w:cs="Times New Roman"/>
        </w:rPr>
        <w:t>**Yield-curve strategy**：利用曲线变陡、变平或不同期限相对变化。</w:t>
      </w:r>
    </w:p>
    <w:p>
      <w:pPr>
        <w:pStyle w:val="ListBullet"/>
      </w:pPr>
      <w:r>
        <w:rPr>
          <w:rFonts w:ascii="Times New Roman" w:hAnsi="Times New Roman" w:eastAsia="微软雅黑" w:cs="Times New Roman"/>
        </w:rPr>
        <w:t>**Yield-spread strategy**：利用部门、信用或期限利差变化。</w:t>
      </w:r>
    </w:p>
    <w:p>
      <w:pPr>
        <w:pStyle w:val="ListBullet"/>
      </w:pPr>
      <w:r>
        <w:rPr>
          <w:rFonts w:ascii="Times New Roman" w:hAnsi="Times New Roman" w:eastAsia="微软雅黑" w:cs="Times New Roman"/>
        </w:rPr>
        <w:t>**Bond-substitution strategy**：用特征相近但相对低估的债券替代高估债券。</w:t>
      </w:r>
    </w:p>
    <w:p>
      <w:r>
        <w:rPr>
          <w:rFonts w:ascii="Times New Roman" w:hAnsi="Times New Roman" w:eastAsia="微软雅黑" w:cs="Times New Roman"/>
        </w:rPr>
        <w:t>策略选择必须与投资目标、风险承受能力、负债约束和基准一致。</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软雅黑" w:cs="Times New Roman"/>
      </w:rPr>
      <w:t>固定收益证券重组复习资料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微软雅黑"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微软雅黑"/>
    </w:rPr>
  </w:style>
  <w:style w:type="character" w:customStyle="1" w:styleId="HeaderChar">
    <w:name w:val="Header Char"/>
    <w:basedOn w:val="DefaultParagraphFont"/>
    <w:link w:val="Header"/>
    <w:uiPriority w:val="99"/>
    <w:rsid w:val="00E618BF"/>
    <w:rPr>
      <w:rFonts w:ascii="Times New Roman" w:hAnsi="Times New Roman" w:cs="Times New Roman" w:eastAsia="微软雅黑"/>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微软雅黑"/>
    </w:rPr>
  </w:style>
  <w:style w:type="character" w:customStyle="1" w:styleId="FooterChar">
    <w:name w:val="Footer Char"/>
    <w:basedOn w:val="DefaultParagraphFont"/>
    <w:link w:val="Footer"/>
    <w:uiPriority w:val="99"/>
    <w:rsid w:val="00E618BF"/>
    <w:rPr>
      <w:rFonts w:ascii="Times New Roman" w:hAnsi="Times New Roman" w:cs="Times New Roman" w:eastAsia="微软雅黑"/>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微软雅黑" w:cs="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微软雅黑" w:cs="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微软雅黑" w:cs="Times New Roman"/>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微软雅黑"/>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微软雅黑"/>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微软雅黑"/>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微软雅黑"/>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微软雅黑"/>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微软雅黑"/>
    </w:rPr>
  </w:style>
  <w:style w:type="table" w:default="1" w:styleId="TableNormal">
    <w:name w:val="Normal Table"/>
    <w:uiPriority w:val="99"/>
    <w:semiHidden/>
    <w:unhideWhenUsed/>
    <w:rPr>
      <w:rFonts w:ascii="Times New Roman" w:hAnsi="Times New Roman" w:cs="Times New Roman" w:eastAsia="微软雅黑"/>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微软雅黑"/>
    </w:rPr>
  </w:style>
  <w:style w:type="character" w:customStyle="1" w:styleId="Heading1Char">
    <w:name w:val="Heading 1 Char"/>
    <w:basedOn w:val="DefaultParagraphFont"/>
    <w:link w:val="Heading1"/>
    <w:uiPriority w:val="9"/>
    <w:rsid w:val="00FC693F"/>
    <w:rPr>
      <w:rFonts w:ascii="Times New Roman" w:hAnsi="Times New Roman" w:cs="Times New Roman" w:eastAsia="微软雅黑"/>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微软雅黑"/>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微软雅黑"/>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微软雅黑" w:cs="Times New Roman"/>
      <w:color w:val="1F4E79"/>
      <w:spacing w:val="5"/>
      <w:kern w:val="28"/>
      <w:sz w:val="44"/>
      <w:szCs w:val="52"/>
    </w:rPr>
  </w:style>
  <w:style w:type="character" w:customStyle="1" w:styleId="TitleChar">
    <w:name w:val="Title Char"/>
    <w:basedOn w:val="DefaultParagraphFont"/>
    <w:link w:val="Title"/>
    <w:uiPriority w:val="10"/>
    <w:rsid w:val="00FC693F"/>
    <w:rPr>
      <w:rFonts w:ascii="Times New Roman" w:hAnsi="Times New Roman" w:cs="Times New Roman" w:eastAsia="微软雅黑"/>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微软雅黑"/>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微软雅黑"/>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微软雅黑"/>
    </w:rPr>
  </w:style>
  <w:style w:type="character" w:customStyle="1" w:styleId="BodyTextChar">
    <w:name w:val="Body Text Char"/>
    <w:basedOn w:val="DefaultParagraphFont"/>
    <w:link w:val="BodyText"/>
    <w:uiPriority w:val="99"/>
    <w:rsid w:val="00AA1D8D"/>
    <w:rPr>
      <w:rFonts w:ascii="Times New Roman" w:hAnsi="Times New Roman" w:cs="Times New Roman" w:eastAsia="微软雅黑"/>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微软雅黑"/>
    </w:rPr>
  </w:style>
  <w:style w:type="character" w:customStyle="1" w:styleId="BodyText2Char">
    <w:name w:val="Body Text 2 Char"/>
    <w:basedOn w:val="DefaultParagraphFont"/>
    <w:link w:val="BodyText2"/>
    <w:uiPriority w:val="99"/>
    <w:rsid w:val="00AA1D8D"/>
    <w:rPr>
      <w:rFonts w:ascii="Times New Roman" w:hAnsi="Times New Roman" w:cs="Times New Roman" w:eastAsia="微软雅黑"/>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微软雅黑"/>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微软雅黑"/>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微软雅黑"/>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微软雅黑"/>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微软雅黑"/>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微软雅黑"/>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微软雅黑"/>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微软雅黑"/>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微软雅黑"/>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微软雅黑"/>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微软雅黑"/>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微软雅黑"/>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微软雅黑"/>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微软雅黑"/>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微软雅黑"/>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微软雅黑"/>
      <w:sz w:val="20"/>
      <w:szCs w:val="20"/>
    </w:rPr>
  </w:style>
  <w:style w:type="paragraph" w:styleId="Quote">
    <w:name w:val="Quote"/>
    <w:basedOn w:val="Normal"/>
    <w:next w:val="Normal"/>
    <w:link w:val="QuoteChar"/>
    <w:uiPriority w:val="29"/>
    <w:qFormat/>
    <w:rsid w:val="00FC693F"/>
    <w:rPr>
      <w:rFonts w:ascii="Times New Roman" w:hAnsi="Times New Roman" w:cs="Times New Roman" w:eastAsia="微软雅黑"/>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微软雅黑"/>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微软雅黑"/>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微软雅黑"/>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微软雅黑"/>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微软雅黑"/>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微软雅黑"/>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微软雅黑"/>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微软雅黑"/>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eastAsia="微软雅黑"/>
      <w:b/>
      <w:bCs/>
    </w:rPr>
  </w:style>
  <w:style w:type="character" w:styleId="Emphasis">
    <w:name w:val="Emphasis"/>
    <w:basedOn w:val="DefaultParagraphFont"/>
    <w:uiPriority w:val="20"/>
    <w:qFormat/>
    <w:rsid w:val="00FC693F"/>
    <w:rPr>
      <w:rFonts w:ascii="Times New Roman" w:hAnsi="Times New Roman" w:cs="Times New Roman" w:eastAsia="微软雅黑"/>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微软雅黑"/>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微软雅黑"/>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微软雅黑"/>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微软雅黑"/>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微软雅黑"/>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微软雅黑"/>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微软雅黑"/>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微软雅黑"/>
    </w:rPr>
  </w:style>
  <w:style w:type="table" w:styleId="TableGrid">
    <w:name w:val="Table Grid"/>
    <w:basedOn w:val="TableNormal"/>
    <w:uiPriority w:val="59"/>
    <w:rsid w:val="00FC693F"/>
    <w:pPr>
      <w:spacing w:after="0" w:line="240" w:lineRule="auto"/>
    </w:pPr>
    <w:rPr>
      <w:rFonts w:ascii="Times New Roman" w:hAnsi="Times New Roman" w:cs="Times New Roman" w:eastAsia="微软雅黑"/>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微软雅黑"/>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微软雅黑"/>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微软雅黑"/>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微软雅黑"/>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微软雅黑"/>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微软雅黑"/>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微软雅黑"/>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微软雅黑"/>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微软雅黑"/>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微软雅黑"/>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