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Fixed-Income Securities Question Bank — Answer Key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I. Concepts and True/False Statements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When the coupon rate is below the market-required yield, the bond should trade at a discount.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Coupon, yield, embedded options, and other structural features also affect interest-rate risk; maturity and coupon effects may offset each other, so the risks cannot always be ranked by maturity alone.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The investor effectively sells the call option to the issuer.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Current yield uses only annual coupon divided by current price.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YTW is the lowest of the possible yields.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Correct, as an approximation under conditions such as stable spreads and normal repricing.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Full valuation can change rates at each maturity and therefore handle nonparallel shifts.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Portfolio duration should be weighted by market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The OAS of a callable bond is usually less than its Z-spread.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Minimum value is the greater of the two values.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97-16 = 97 + 16/32 = 97.5%.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Tax benefits lower the pretax yield required by investors; the tax-equivalent yield should be calculated for comparison.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II. Fill-in-the-Blank Questions and Relationships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Par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Clean price; Accrued interest.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Bond yield; Benchmark yield.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Tax-exempt yield; Tax rate.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(1+BEY/2)^2−1.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−Dmod.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Market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Option-free bond value; Call option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Option-free bond value; Put option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Par value; Conversion ratio.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Current stock price; Conversion ratio.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100; Annualized three-month rate.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$25.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Futures price; Conversion factor; Accrued interest.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P(floater); P(inverse floater).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III. Short-Answer Key Points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Issuer, par value, coupon rate, coupon frequency, maturity date, currency, security and seniority, covenants, embedded options, and repayment structure.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An increase in interest rates depresses the price of existing bonds but raises the reinvestment return on interim cash flows; a decline in rates has the opposite effects.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domestic bond is issued in the issuer's home country by a domestic issuer in the domestic currency; a foreign bond is issued by a foreign issuer in the local market and currency; a Eurobond is issued outside the country of the currency in which it is denominated; a global bond is issued simultaneously in multiple markets.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Credit, embedded options, liquidity, maturity, taxes, supply and demand, and benchmark selection.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Pure expectations emphasizes expected future short rates; liquidity preference adds a term premium; preferred habitat allows investors to require compensation for leaving their preferred maturity; segmentation theory attributes yields to supply and demand within each maturity segment.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Clean price excludes accrued interest; accrued interest is coupon income earned by the seller; dirty price is the actual settlement price and equals clean price plus accrued interest.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Current yield reflects only coupon divided by price; YTM corresponds to cash flows through maturity; YTC corresponds to redemption; YTP corresponds to put; YTW is the lowest yield available to the investor.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Duration is a first-order approximation and becomes less accurate for large yield changes and nonlinear price relationships; convexity adds a second-order curvature adjustment.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decline in interest rates raises the probability of redemption, while the call price limits the price increase; after early repayment, the investor faces reinvestment at lower rates; the price-yield curve may exhibit negative convexity.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originator transfers assets to an SPV; the SPV creates an asset pool, creates tranches, and distributes cash flows through a waterfall. The three main risks are asset risk, structural risk, and third-party risk.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Minimum value is the greater of conversion value and straight value; the basic arbitrage direction is to buy the convertible bond and short the related stock.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Five steps: define objectives, establish policy, select strategies, construct the portfolio, and measure and evaluate performance. Main strategies include benchmark-based, absolute-return, liability-driven, interest-rate expectation, yield-curve, yield-spread, and substitution strategies.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IV. Computational Answers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 Basic Quotation and Coupon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Dollar price: 1,000×102.50/100 = $1,025;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Annual coupon: 1,000×8% = $80;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Semiannual coupon: 80/2 = $40.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 Bond Pricing</w:t>
      </w:r>
    </w:p>
    <w:p>
      <w:r>
        <w:rPr>
          <w:rFonts w:ascii="Times New Roman" w:hAnsi="Times New Roman" w:eastAsia="微软雅黑" w:cs="Times New Roman"/>
        </w:rPr>
        <w:t>Coupon per period is 30, yield per period is 4%, and there are 6 periods:</w:t>
      </w:r>
    </w:p>
    <w:p>
      <w:r>
        <w:rPr>
          <w:rFonts w:ascii="Times New Roman" w:hAnsi="Times New Roman" w:eastAsia="微软雅黑" w:cs="Times New Roman"/>
          <w:sz w:val="19"/>
        </w:rPr>
        <w:t>P = 30[1−(1.04)^−6]/0.04 + 1,000/(1.04)^6 ≈ $947.58.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</w:rPr>
        <w:t>The coupon rate is below the YTM, so this is a discount bond.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 Accrued Interest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AI = 40×75/(75+105) = $16.67;</w:t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Dirty price = 980 + 16.67 = $996.67.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 Yield Conversion</w:t>
      </w:r>
    </w:p>
    <w:p>
      <w:r>
        <w:rPr>
          <w:rFonts w:ascii="Times New Roman" w:hAnsi="Times New Roman" w:eastAsia="微软雅黑" w:cs="Times New Roman"/>
          <w:sz w:val="19"/>
        </w:rPr>
        <w:t>EAY=(1+0.087/2)^2−1=8.8892%. An annual-pay bond compounds only once per year, so its annual-pay YTM equals 8.8892%.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 Spreads and Taxes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Absolute spread: 8%−5%=3%=300 bp;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Relative spread: 3%/5%=60%;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Yield ratio: 8%/5%=1.60;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Equivalent taxable yield: 4.5%/(1−25%)=6.0%.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 Effective Duration</w:t>
      </w:r>
    </w:p>
    <w:p>
      <w:r>
        <w:rPr>
          <w:rFonts w:ascii="Times New Roman" w:hAnsi="Times New Roman" w:eastAsia="微软雅黑" w:cs="Times New Roman"/>
          <w:sz w:val="19"/>
        </w:rPr>
        <w:t>D=(110.3−107.2)/(2×108.6×0.004)=3.568.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 Duration-Based Price Estimate</w:t>
      </w:r>
    </w:p>
    <w:p>
      <w:r>
        <w:rPr>
          <w:rFonts w:ascii="Times New Roman" w:hAnsi="Times New Roman" w:eastAsia="微软雅黑" w:cs="Times New Roman"/>
          <w:sz w:val="19"/>
        </w:rPr>
        <w:t>ΔP/P≈−7.87×(−0.011)=+8.657%.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 Convexity</w:t>
      </w:r>
    </w:p>
    <w:p>
      <w:r>
        <w:rPr>
          <w:rFonts w:ascii="Times New Roman" w:hAnsi="Times New Roman" w:eastAsia="微软雅黑" w:cs="Times New Roman"/>
          <w:sz w:val="19"/>
        </w:rPr>
        <w:t>Convexity=(105.78+98.032−200)/[100×(0.003)^2]≈4,235.56.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  <w:sz w:val="19"/>
        </w:rPr>
        <w:t>Convexity effect=0.5×4,235.56×(0.003)^2≈1.906%.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</w:rPr>
        <w:t>Combined expression: ΔP/P≈−DmodΔy+1/2×Convexity×(Δy)^2.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 Convertible Bond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Conversion price: 1,000/37=$27.027;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Conversion value: 24×37=$888;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Minimum value: max(888,650)=$888;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Market conversion price: 1,000/37=$27.027;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Premium per share: 27.027−24=$3.027;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Premium ratio: 3.027/24≈12.61%;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Favorable income differential per share: (105−37×0.5)/37≈$2.338;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Payback period: 3.027/2.338≈1.29 years;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Premium over straight value: 1,000/650−1≈53.85%.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10. Eurodollar Futures</w:t>
      </w:r>
    </w:p>
    <w:p>
      <w:r>
        <w:rPr>
          <w:rFonts w:ascii="Times New Roman" w:hAnsi="Times New Roman" w:eastAsia="微软雅黑" w:cs="Times New Roman"/>
        </w:rPr>
        <w:t>The index rises by 0.15, so the implied interest rate falls by 15 bp. Profit for the long position: 15×$25=$375.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11. Treasury Futures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97-16=97+16/32=97.5%;</w:t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Amount corresponding to the futures quote: 100,000×97.5%=$97,500;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Invoice price: 97,500×0.92+1,200=$90,900.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12. Option-Embedded Bond Relationships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Callable bond: 105−7=98;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Putable bond: 105+4=109.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固定收益证券重组复习资料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