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微软雅黑" w:cs="Times New Roman"/>
        </w:rPr>
        <w:t>固定收益证券考前速记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1. 必背价格关系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收益率上升，债券价格下降；收益率下降，债券价格上升。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coupon rate = required yield</w:t>
      </w:r>
      <w:r>
        <w:rPr>
          <w:rFonts w:ascii="Times New Roman" w:hAnsi="Times New Roman" w:eastAsia="微软雅黑" w:cs="Times New Roman"/>
        </w:rPr>
        <w:t>：par。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coupon rate &lt; required yield</w:t>
      </w:r>
      <w:r>
        <w:rPr>
          <w:rFonts w:ascii="Times New Roman" w:hAnsi="Times New Roman" w:eastAsia="微软雅黑" w:cs="Times New Roman"/>
        </w:rPr>
        <w:t>：discount。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coupon rate &gt; required yield</w:t>
      </w:r>
      <w:r>
        <w:rPr>
          <w:rFonts w:ascii="Times New Roman" w:hAnsi="Times New Roman" w:eastAsia="微软雅黑" w:cs="Times New Roman"/>
        </w:rPr>
        <w:t>：premium。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Dirty price = Clean price + Accrued interest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到期时价格趋向面值。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Callable &lt; Option-free &lt; Putable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Convertible minimum value = max(Conversion value, Straight value)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2. 必背风险规律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期限越长、票息越低、收益率越低，普通债券价格通常越敏感。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零息债 Macaulay duration 等于期限。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浮息债 duration 通常近似等于距下次重定价日时间。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利率风险与再投资风险方向相反。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Callable bond：赎回风险、再投资风险、价格压缩、可能负凸性。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普通无期权债券通常正凸。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3. 必背收益率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Current yield = Annual coupon / Price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YTM：持有至到期；YTC：持有至赎回；YTP：持有至回售。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YTW = min(YTM, YTC, YTP...)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EAY=(1+BEY/2)^2−1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浮息债低于面值：discount margin 通常高于 quoted margin。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4. 必背利差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Absolute spread = Bond yield − Benchmark yield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Relative spread = Absolute spread / Benchmark yield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Yield ratio = Bond yield / Benchmark yield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Swap spread = Swap rate − Treasury yield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Equivalent taxable yield = Tax-exempt yield/(1−Tax rate)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Z-spread 加在整条 Treasury spot curve 上。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Callable：</w:t>
      </w:r>
      <w:r>
        <w:rPr>
          <w:rFonts w:ascii="Times New Roman" w:hAnsi="Times New Roman" w:eastAsia="微软雅黑" w:cs="Times New Roman"/>
          <w:sz w:val="19"/>
        </w:rPr>
        <w:t>Z-spread = OAS + Call option cost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5. 必背 Duration 与 Convexity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D=(P−−P+)/[2P0Δy]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Dmod=Dmac/(1+y每期)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ΔP/P≈−DmodΔy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Dollar duration=Dmod×P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Portfolio duration=ΣwiDi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Convexity=(P−+P+−2P0)/[P0(Δy)^2]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ΔP/P≈−DmodΔy+½Convexity(Δy)^2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 xml:space="preserve">收益率下降用负的 </w:t>
      </w:r>
      <w:r>
        <w:rPr>
          <w:rFonts w:ascii="Times New Roman" w:hAnsi="Times New Roman" w:eastAsia="微软雅黑" w:cs="Times New Roman"/>
          <w:sz w:val="19"/>
        </w:rPr>
        <w:t>Δy</w:t>
      </w:r>
      <w:r>
        <w:rPr>
          <w:rFonts w:ascii="Times New Roman" w:hAnsi="Times New Roman" w:eastAsia="微软雅黑" w:cs="Times New Roman"/>
        </w:rPr>
        <w:t>，价格变化应为正。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6. 必背可转换债券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Conversion price=Par/Conversion ratio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Conversion value=Stock price×Conversion ratio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Market conversion price=Convertible price/Conversion ratio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Premium ratio=(Market conversion price−Stock price)/Stock price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Payback period=Premium per share/Favorable income differential per share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基本套利：long convertible，short stock。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7. 必背期货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Eurodollar index：</w:t>
      </w:r>
      <w:r>
        <w:rPr>
          <w:rFonts w:ascii="Times New Roman" w:hAnsi="Times New Roman" w:eastAsia="微软雅黑" w:cs="Times New Roman"/>
          <w:sz w:val="19"/>
        </w:rPr>
        <w:t>100−3-month rate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指数上涨代表利率下降。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 xml:space="preserve">一份合约 1 bp = </w:t>
      </w:r>
      <w:r>
        <w:rPr>
          <w:rFonts w:ascii="Times New Roman" w:hAnsi="Times New Roman" w:eastAsia="微软雅黑" w:cs="Times New Roman"/>
          <w:sz w:val="19"/>
        </w:rPr>
        <w:t>$25</w:t>
      </w:r>
      <w:r>
        <w:rPr>
          <w:rFonts w:ascii="Times New Roman" w:hAnsi="Times New Roman" w:eastAsia="微软雅黑" w:cs="Times New Roman"/>
        </w:rPr>
        <w:t xml:space="preserve">，半个 bp = </w:t>
      </w:r>
      <w:r>
        <w:rPr>
          <w:rFonts w:ascii="Times New Roman" w:hAnsi="Times New Roman" w:eastAsia="微软雅黑" w:cs="Times New Roman"/>
          <w:sz w:val="19"/>
        </w:rPr>
        <w:t>$12.5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97-16=97+16/32=97.5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 xml:space="preserve">Treasury futures 一个 32 分之一：面值 100,000 时为 </w:t>
      </w:r>
      <w:r>
        <w:rPr>
          <w:rFonts w:ascii="Times New Roman" w:hAnsi="Times New Roman" w:eastAsia="微软雅黑" w:cs="Times New Roman"/>
          <w:sz w:val="19"/>
        </w:rPr>
        <w:t>$3,125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Invoice price=Futures price×Conversion factor+Accrued interest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8. 必背市场与产品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六部门：Treasury、Agency、Municipal、Corporate、MBS、ABS。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TIPS：本金随通胀调整，票息按调整本金计算。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STRIPS：票息与本金拆分成零息证券。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Pass-through：按比例传递抵押贷款现金流。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CMO：通过 tranche 重新分配现金流和提前偿还风险。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ABS：发起人转移资产给 SPV，SPV 发债并按 waterfall 支付。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ABS 三类风险：资产风险、结构风险、第三方风险。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9. 必背收益率曲线理论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Pure expectations：未来短率预期。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Liquidity theory：长期期限溢价。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Preferred habitat：获得补偿后可离开偏好期限。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Market segmentation：各期限由自身供求决定。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10. 必背组合管理</w:t>
      </w:r>
    </w:p>
    <w:p>
      <w:r>
        <w:rPr>
          <w:rFonts w:ascii="Times New Roman" w:hAnsi="Times New Roman" w:eastAsia="微软雅黑" w:cs="Times New Roman"/>
        </w:rPr>
        <w:t>五步流程：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明确投资目标；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制定投资政策；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选择投资策略；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构建投资组合；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衡量并评价绩效。</w:t>
      </w:r>
    </w:p>
    <w:p>
      <w:r>
        <w:rPr>
          <w:rFonts w:ascii="Times New Roman" w:hAnsi="Times New Roman" w:eastAsia="微软雅黑" w:cs="Times New Roman"/>
        </w:rPr>
        <w:t>主要策略：benchmark、absolute-return、liability-driven、interest-rate anticipation、yield-curve、spread、substitution。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11. 计算检查清单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百分数是否化为小数，bp 是否除以 10,000；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年票息、每期票息是否区分；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年收益率、每期收益率和期数是否匹配；</w:t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P−</w:t>
      </w:r>
      <w:r>
        <w:rPr>
          <w:rFonts w:ascii="Times New Roman" w:hAnsi="Times New Roman" w:eastAsia="微软雅黑" w:cs="Times New Roman"/>
        </w:rPr>
        <w:t xml:space="preserve"> 是否确实对应收益率下降；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Clean/dirty price 是否混用；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Call/put 计算是否替换了正确日期和终值；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结果方向是否符合价格—收益率反向关系。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微软雅黑" w:cs="Times New Roman"/>
      </w:rPr>
      <w:t>固定收益证券重组复习资料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微软雅黑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微软雅黑" w:cs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微软雅黑" w:cs="Times New Roman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微软雅黑" w:cs="Times New Roman"/>
      <w:b/>
      <w:bCs/>
      <w:color w:val="3F3F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微软雅黑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微软雅黑" w:cs="Times New Roman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微软雅黑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微软雅黑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微软雅黑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微软雅黑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微软雅黑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微软雅黑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微软雅黑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