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微软雅黑"/>
        </w:rPr>
        <w:t>管理与组织：动机、领导、权力与政治</w:t>
      </w:r>
    </w:p>
    <w:p/>
    <w:p>
      <w:pPr>
        <w:pStyle w:val="Heading1"/>
      </w:pPr>
      <w:r>
        <w:rPr>
          <w:rFonts w:ascii="Times New Roman" w:hAnsi="Times New Roman" w:cs="Times New Roman" w:eastAsia="微软雅黑"/>
        </w:rPr>
        <w:t>一、动机</w:t>
      </w:r>
    </w:p>
    <w:p>
      <w:r>
        <w:rPr>
          <w:rFonts w:ascii="Times New Roman" w:hAnsi="Times New Roman" w:cs="Times New Roman" w:eastAsia="微软雅黑"/>
        </w:rPr>
        <w:t>动机是解释努力水平、努力方向和努力持续性的力量。有效动机要求个人需要与组织目标相容。奖励分为外在奖励（工资、奖金、晋升、休假、任务）和内在奖励（胜任感、个人发展、自我控制）。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理论类别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代表理论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核心问题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内容理论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Maslow、Alderfer ERG、Herzberg、McClelland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人需要什么？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过程理论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公平、目标设置、期望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人如何理解奖励并选择努力？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强化理论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正强化、负强化、惩罚、消退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行为后果如何塑造重复行为？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 w:eastAsia="微软雅黑"/>
        </w:rPr>
        <w:t>核心模型对照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模型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关键点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管理应用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ERG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存在、关系、成长；不要求严格按低层到高层推进。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同时考虑物质、关系与成长。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Herzberg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激励因素来自工作内容：成就、认可、责任、晋升、成长；保健因素来自工作情境：条件、关系、政策、薪资。保健因素减少不满，但不自动带来满意。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既修复不满，也重新设计工作内容。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McClelland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成就需要 nAch、权力需要 nPower、归属需要 nAff。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匹配任务、反馈和影响方式。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公平理论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比较结果/投入与他人的结果/投入；感知不公平会改变投入、要求奖励、更换比较对象或离开。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透明解释标准，处理相对公平。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目标设置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具体、有挑战、被接受/承诺、优先级清楚、反馈充分并与奖励相连。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把模糊要求变成可检查目标。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期望模型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努力—绩效期望；绩效—奖励工具性；奖励效价。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分别提升能力/资源、兑现承诺、提高奖励价值。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 w:eastAsia="微软雅黑"/>
        </w:rPr>
        <w:t>强化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正强化：增加希望行为的积极后果。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负强化：移除不愉快后果以增加行为；不是惩罚。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惩罚：用不利后果减少行为。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消退：撤去原来维持行为的强化。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有效强化强调后果与行为有条件联系、及时，并可通过逐步塑造形成目标行为。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二、领导</w:t>
      </w:r>
    </w:p>
    <w:p>
      <w:r>
        <w:rPr>
          <w:rFonts w:ascii="Times New Roman" w:hAnsi="Times New Roman" w:cs="Times New Roman" w:eastAsia="微软雅黑"/>
        </w:rPr>
        <w:t>领导是影响群体实现目标的过程；领导者既可能拥有管理权威，也必须具备影响他人的能力。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取向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  <w:t>内容</w:t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特质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驱动力、自信、创造力、认知能力、业务知识、动机、灵活性、诚实与正直。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行为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任务/生产关怀与人员关怀；两者都高往往更有效。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Managerial Grid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贫乏型、权威—服从型、乡村俱乐部型、中庸型、团队管理型（任务与人员均高）。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Fiedler 权变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任务导向或关系导向；以 LPC 评估风格，并匹配领导—成员关系、任务结构、职位权力；风格较难改变。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Hersey–Blanchard SLT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依据追随者准备度：R1不能/不愿，R2不能/愿意，R3能/不愿，R4能/愿意；对应告知、推销、参与、授权。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微软雅黑"/>
        </w:rPr>
        <w:t>三、权力与组织政治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权力来源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含义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奖励权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给予有价值结果的能力。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强制权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施加惩罚或不利后果的能力。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合法权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来自职位和正式权威。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专家权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来自知识、技能和专业能力。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参照权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来自被认同、尊重或仿效的关系。</w:t>
            </w:r>
          </w:p>
        </w:tc>
      </w:tr>
    </w:tbl>
    <w:p/>
    <w:p>
      <w:r>
        <w:rPr>
          <w:rFonts w:ascii="Times New Roman" w:hAnsi="Times New Roman" w:cs="Times New Roman" w:eastAsia="微软雅黑"/>
        </w:rPr>
        <w:t>组织政治涉及识别影响来源、判断影响行为的伦理性、选择合适沟通和授权方式。权力用于变革时，应同时考虑透明度、利益相关者和责任。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四、综合案例答题链</w:t>
      </w:r>
    </w:p>
    <w:p>
      <w:r>
        <w:rPr>
          <w:rFonts w:ascii="Times New Roman" w:hAnsi="Times New Roman" w:cs="Times New Roman" w:eastAsia="微软雅黑"/>
        </w:rPr>
        <w:t>先诊断“不会做、不会想做、做了得不到回报，还是领导方式不匹配”，再分别使用期望、公平、目标、强化或领导权变解释。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sz w:val="16"/>
      </w:rPr>
      <w:t>管理与组织｜重组复习资料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