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7622E" w14:textId="77777777" w:rsidR="003D7A36" w:rsidRDefault="00000000">
      <w:pPr>
        <w:pStyle w:val="Title"/>
        <w:spacing w:before="400" w:after="160" w:line="276" w:lineRule="auto"/>
        <w:jc w:val="center"/>
      </w:pPr>
      <w:r>
        <w:rPr>
          <w:rFonts w:ascii="Times New Roman" w:eastAsia="微软雅黑" w:hAnsi="Times New Roman" w:cs="Times New Roman"/>
        </w:rPr>
        <w:t>Frontiers of Finance 课程笔记</w:t>
      </w:r>
    </w:p>
    <w:p w14:paraId="71DE5EC4" w14:textId="77777777" w:rsidR="003D7A36" w:rsidRDefault="00000000">
      <w:pPr>
        <w:spacing w:after="360"/>
        <w:jc w:val="center"/>
      </w:pPr>
      <w:r>
        <w:rPr>
          <w:rFonts w:ascii="Times New Roman" w:hAnsi="Times New Roman" w:cs="Times New Roman" w:eastAsia="微软雅黑"/>
          <w:color w:val="666666"/>
          <w:sz w:val="24"/>
        </w:rPr>
        <w:t>资产定价 公司金融 金融计量方法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6EAAFF20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E68028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课程定位</w:t>
            </w:r>
          </w:p>
          <w:p w14:paraId="77CF8194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本课程以金融研究中的资产定价与公司金融文献为背景，训练面板数据、标准误、因果识别和研究提案写作能力。课程笔记按概念、假设、估计方法与研究流程组织。</w:t>
            </w:r>
          </w:p>
        </w:tc>
      </w:tr>
    </w:tbl>
    <w:p w14:paraId="310A7246" w14:textId="77777777" w:rsidR="003D7A36" w:rsidRDefault="003D7A36">
      <w:pPr>
        <w:spacing w:after="0"/>
        <w:rPr>
          <w:lang w:eastAsia="zh-CN"/>
        </w:rPr>
      </w:pPr>
    </w:p>
    <w:p w14:paraId="78CEC6CF" w14:textId="77777777" w:rsidR="003D7A36" w:rsidRDefault="00000000">
      <w:pPr>
        <w:pStyle w:val="Heading1"/>
        <w:spacing w:before="200" w:after="100"/>
      </w:pPr>
      <w:proofErr w:type="spellStart"/>
      <w:r>
        <w:rPr>
          <w:rFonts w:ascii="Times New Roman" w:eastAsia="微软雅黑" w:hAnsi="Times New Roman" w:cs="Times New Roman"/>
        </w:rPr>
        <w:t>目录</w:t>
      </w:r>
      <w:proofErr w:type="spellEnd"/>
    </w:p>
    <w:p w14:paraId="2FADFC2B" w14:textId="77777777" w:rsidR="003D7A36" w:rsidRDefault="00000000">
      <w:pPr>
        <w:pStyle w:val="ListNumber"/>
        <w:spacing w:after="120"/>
      </w:pPr>
      <w:r>
        <w:rPr>
          <w:rFonts w:ascii="Times New Roman" w:hAnsi="Times New Roman" w:cs="Times New Roman" w:eastAsia="微软雅黑"/>
        </w:rPr>
        <w:t>一 课程概览</w:t>
      </w:r>
    </w:p>
    <w:p w14:paraId="40AFD8F5" w14:textId="77777777" w:rsidR="003D7A36" w:rsidRDefault="00000000">
      <w:pPr>
        <w:pStyle w:val="ListNumber"/>
        <w:spacing w:after="120"/>
        <w:rPr>
          <w:lang w:eastAsia="zh-CN"/>
        </w:rPr>
      </w:pPr>
      <w:proofErr w:type="gramStart"/>
      <w:r>
        <w:rPr>
          <w:rFonts w:ascii="Times New Roman" w:hAnsi="Times New Roman" w:cs="Times New Roman" w:eastAsia="微软雅黑"/>
          <w:lang w:eastAsia="zh-CN"/>
        </w:rPr>
        <w:t>二 课程导论 资产定价 公司</w:t>
      </w:r>
      <w:proofErr w:type="gramEnd"/>
      <w:r>
        <w:rPr>
          <w:rFonts w:ascii="Times New Roman" w:hAnsi="Times New Roman" w:cs="Times New Roman" w:eastAsia="微软雅黑"/>
          <w:lang w:eastAsia="zh-CN"/>
        </w:rPr>
        <w:t>金融与金融中介</w:t>
      </w:r>
    </w:p>
    <w:p w14:paraId="352318F4" w14:textId="77777777" w:rsidR="003D7A36" w:rsidRDefault="00000000">
      <w:pPr>
        <w:pStyle w:val="ListNumber"/>
        <w:spacing w:after="120"/>
        <w:rPr>
          <w:lang w:eastAsia="zh-CN"/>
        </w:rPr>
      </w:pPr>
      <w:proofErr w:type="gramStart"/>
      <w:r>
        <w:rPr>
          <w:rFonts w:ascii="Times New Roman" w:hAnsi="Times New Roman" w:cs="Times New Roman" w:eastAsia="微软雅黑"/>
          <w:lang w:eastAsia="zh-CN"/>
        </w:rPr>
        <w:t>三 面板</w:t>
      </w:r>
      <w:proofErr w:type="gramEnd"/>
      <w:r>
        <w:rPr>
          <w:rFonts w:ascii="Times New Roman" w:hAnsi="Times New Roman" w:cs="Times New Roman" w:eastAsia="微软雅黑"/>
          <w:lang w:eastAsia="zh-CN"/>
        </w:rPr>
        <w:t>数据模型与标准误</w:t>
      </w:r>
    </w:p>
    <w:p w14:paraId="1E811C57" w14:textId="77777777" w:rsidR="003D7A36" w:rsidRDefault="00000000">
      <w:pPr>
        <w:pStyle w:val="ListNumber"/>
        <w:spacing w:after="120"/>
        <w:rPr>
          <w:lang w:eastAsia="zh-CN"/>
        </w:rPr>
      </w:pPr>
      <w:proofErr w:type="gramStart"/>
      <w:r>
        <w:rPr>
          <w:rFonts w:ascii="Times New Roman" w:hAnsi="Times New Roman" w:cs="Times New Roman" w:eastAsia="微软雅黑"/>
          <w:lang w:eastAsia="zh-CN"/>
        </w:rPr>
        <w:t>四 相关性 因果</w:t>
      </w:r>
      <w:proofErr w:type="gramEnd"/>
      <w:r>
        <w:rPr>
          <w:rFonts w:ascii="Times New Roman" w:hAnsi="Times New Roman" w:cs="Times New Roman" w:eastAsia="微软雅黑"/>
          <w:lang w:eastAsia="zh-CN"/>
        </w:rPr>
        <w:t>推断与线性回归</w:t>
      </w:r>
    </w:p>
    <w:p w14:paraId="5A28E4F5" w14:textId="77777777" w:rsidR="003D7A36" w:rsidRDefault="00000000">
      <w:pPr>
        <w:pStyle w:val="ListNumber"/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五 OLS </w:t>
      </w:r>
      <w:proofErr w:type="gramStart"/>
      <w:r>
        <w:rPr>
          <w:rFonts w:ascii="Times New Roman" w:hAnsi="Times New Roman" w:cs="Times New Roman" w:eastAsia="微软雅黑"/>
          <w:lang w:eastAsia="zh-CN"/>
        </w:rPr>
        <w:t>性质 统计</w:t>
      </w:r>
      <w:proofErr w:type="gramEnd"/>
      <w:r>
        <w:rPr>
          <w:rFonts w:ascii="Times New Roman" w:hAnsi="Times New Roman" w:cs="Times New Roman" w:eastAsia="微软雅黑"/>
          <w:lang w:eastAsia="zh-CN"/>
        </w:rPr>
        <w:t>推断与结果解释</w:t>
      </w:r>
    </w:p>
    <w:p w14:paraId="6DE48369" w14:textId="77777777" w:rsidR="003D7A36" w:rsidRDefault="00000000">
      <w:pPr>
        <w:pStyle w:val="ListNumber"/>
        <w:spacing w:after="120"/>
        <w:rPr>
          <w:lang w:eastAsia="zh-CN"/>
        </w:rPr>
      </w:pPr>
      <w:proofErr w:type="gramStart"/>
      <w:r>
        <w:rPr>
          <w:rFonts w:ascii="Times New Roman" w:hAnsi="Times New Roman" w:cs="Times New Roman" w:eastAsia="微软雅黑"/>
          <w:lang w:eastAsia="zh-CN"/>
        </w:rPr>
        <w:t>六 工具</w:t>
      </w:r>
      <w:proofErr w:type="gramEnd"/>
      <w:r>
        <w:rPr>
          <w:rFonts w:ascii="Times New Roman" w:hAnsi="Times New Roman" w:cs="Times New Roman" w:eastAsia="微软雅黑"/>
          <w:lang w:eastAsia="zh-CN"/>
        </w:rPr>
        <w:t>变量与两阶段最小二乘</w:t>
      </w:r>
    </w:p>
    <w:p w14:paraId="72924F5F" w14:textId="77777777" w:rsidR="003D7A36" w:rsidRDefault="00000000">
      <w:pPr>
        <w:pStyle w:val="ListNumber"/>
        <w:spacing w:after="120"/>
      </w:pPr>
      <w:r>
        <w:rPr>
          <w:rFonts w:ascii="Times New Roman" w:hAnsi="Times New Roman" w:cs="Times New Roman" w:eastAsia="微软雅黑"/>
        </w:rPr>
        <w:t xml:space="preserve">七 </w:t>
      </w:r>
      <w:proofErr w:type="spellStart"/>
      <w:r>
        <w:rPr>
          <w:rFonts w:ascii="Times New Roman" w:hAnsi="Times New Roman" w:cs="Times New Roman" w:eastAsia="微软雅黑"/>
        </w:rPr>
        <w:t>研究提案写作框架</w:t>
      </w:r>
      <w:proofErr w:type="spellEnd"/>
    </w:p>
    <w:p w14:paraId="6A19865D" w14:textId="77777777" w:rsidR="003D7A36" w:rsidRDefault="00000000">
      <w:pPr>
        <w:pStyle w:val="Heading1"/>
        <w:spacing w:before="200" w:after="100"/>
        <w:rPr>
          <w:lang w:eastAsia="zh-CN"/>
        </w:rPr>
      </w:pPr>
      <w:proofErr w:type="gramStart"/>
      <w:r>
        <w:rPr>
          <w:rFonts w:ascii="Times New Roman" w:eastAsia="微软雅黑" w:hAnsi="Times New Roman" w:cs="Times New Roman"/>
          <w:lang w:eastAsia="zh-CN"/>
        </w:rPr>
        <w:t>一 课程</w:t>
      </w:r>
      <w:proofErr w:type="gramEnd"/>
      <w:r>
        <w:rPr>
          <w:rFonts w:ascii="Times New Roman" w:eastAsia="微软雅黑" w:hAnsi="Times New Roman" w:cs="Times New Roman"/>
          <w:lang w:eastAsia="zh-CN"/>
        </w:rPr>
        <w:t>概览</w:t>
      </w:r>
    </w:p>
    <w:p w14:paraId="70447D51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Frontiers of Finance 是面向高年级本科生的金融前沿选修课。课程总学时为 16 小时，采用讲授与辅导相结合的方式，考核以研究提案为核心。</w:t>
      </w:r>
      <w:proofErr w:type="gramStart"/>
      <w:r>
        <w:rPr>
          <w:rFonts w:ascii="Times New Roman" w:hAnsi="Times New Roman" w:cs="Times New Roman" w:eastAsia="微软雅黑"/>
          <w:lang w:eastAsia="zh-CN"/>
        </w:rPr>
      </w:r>
      <w:proofErr w:type="gramEnd"/>
      <w:r>
        <w:rPr>
          <w:rFonts w:ascii="Times New Roman" w:hAnsi="Times New Roman" w:cs="Times New Roman" w:eastAsia="微软雅黑"/>
          <w:lang w:eastAsia="zh-CN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91"/>
        <w:gridCol w:w="4649"/>
      </w:tblGrid>
      <w:tr w:rsidR="003D7A36" w14:paraId="6CA81C25" w14:textId="77777777">
        <w:trPr>
          <w:tblHeader/>
          <w:jc w:val="center"/>
        </w:trPr>
        <w:tc>
          <w:tcPr>
            <w:tcW w:w="1417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87CF9" w14:textId="77777777" w:rsidR="003D7A36" w:rsidRDefault="00000000">
            <w:pPr>
              <w:jc w:val="center"/>
            </w:pPr>
            <w:proofErr w:type="spellStart"/>
            <w:r>
              <w:rPr>
                <w:rFonts w:ascii="Times New Roman" w:hAnsi="Times New Roman" w:cs="Times New Roman" w:eastAsia="微软雅黑"/>
                <w:b/>
                <w:color w:val="FFFFFF"/>
              </w:rPr>
              <w:t>模块</w:t>
            </w:r>
            <w:proofErr w:type="spellEnd"/>
          </w:p>
        </w:tc>
        <w:tc>
          <w:tcPr>
            <w:tcW w:w="289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F0957" w14:textId="77777777" w:rsidR="003D7A36" w:rsidRDefault="00000000">
            <w:pPr>
              <w:jc w:val="center"/>
            </w:pPr>
            <w:r>
              <w:rPr>
                <w:rFonts w:ascii="Times New Roman" w:hAnsi="Times New Roman" w:cs="Times New Roman" w:eastAsia="微软雅黑"/>
                <w:b/>
                <w:color w:val="FFFFFF"/>
              </w:rPr>
              <w:t>核心问题</w:t>
            </w:r>
          </w:p>
        </w:tc>
        <w:tc>
          <w:tcPr>
            <w:tcW w:w="464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620E1" w14:textId="77777777" w:rsidR="003D7A36" w:rsidRDefault="00000000">
            <w:pPr>
              <w:jc w:val="center"/>
            </w:pPr>
            <w:r>
              <w:rPr>
                <w:rFonts w:ascii="Times New Roman" w:hAnsi="Times New Roman" w:cs="Times New Roman" w:eastAsia="微软雅黑"/>
                <w:b/>
                <w:color w:val="FFFFFF"/>
              </w:rPr>
              <w:t>学习产出</w:t>
            </w:r>
          </w:p>
        </w:tc>
      </w:tr>
      <w:tr w:rsidR="003D7A36" w14:paraId="7666B8FE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CB16E" w14:textId="77777777" w:rsidR="003D7A36" w:rsidRDefault="00000000">
            <w:r>
              <w:rPr>
                <w:rFonts w:ascii="Times New Roman" w:hAnsi="Times New Roman" w:cs="Times New Roman" w:eastAsia="微软雅黑"/>
              </w:rPr>
              <w:t>课程导论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F715A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金融研究关注什么问题？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C397F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区分资产定价、公司金融和金融中介的研究对象与常用理论框架。</w:t>
            </w:r>
          </w:p>
        </w:tc>
      </w:tr>
      <w:tr w:rsidR="003D7A36" w14:paraId="0BCD11A5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D764" w14:textId="77777777" w:rsidR="003D7A36" w:rsidRDefault="00000000">
            <w:proofErr w:type="spellStart"/>
            <w:r>
              <w:rPr>
                <w:rFonts w:ascii="Times New Roman" w:hAnsi="Times New Roman" w:cs="Times New Roman" w:eastAsia="微软雅黑"/>
              </w:rPr>
              <w:t>计量基础</w:t>
            </w:r>
            <w:proofErr w:type="spellEnd"/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AFF8E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相关关系何时可以解释为因果关系？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B777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掌握面板数据、OLS、标准误与内生性诊断的基本逻辑。</w:t>
            </w:r>
          </w:p>
        </w:tc>
      </w:tr>
      <w:tr w:rsidR="003D7A36" w14:paraId="592EA319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AB05F" w14:textId="77777777" w:rsidR="003D7A36" w:rsidRDefault="00000000">
            <w:proofErr w:type="spellStart"/>
            <w:r>
              <w:rPr>
                <w:rFonts w:ascii="Times New Roman" w:hAnsi="Times New Roman" w:cs="Times New Roman" w:eastAsia="微软雅黑"/>
              </w:rPr>
              <w:t>识别方法</w:t>
            </w:r>
            <w:proofErr w:type="spellEnd"/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D06A6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如何处理不可观测因素和反</w:t>
            </w:r>
            <w:r>
              <w:rPr>
                <w:rFonts w:ascii="Times New Roman" w:hAnsi="Times New Roman" w:cs="Times New Roman" w:eastAsia="微软雅黑"/>
                <w:lang w:eastAsia="zh-CN"/>
              </w:rPr>
              <w:lastRenderedPageBreak/>
              <w:t>向因果？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FBDA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lastRenderedPageBreak/>
              <w:t>能够说明固定效应、聚类标准误、工具变量</w:t>
            </w:r>
            <w:proofErr w:type="gramStart"/>
            <w:r>
              <w:rPr>
                <w:rFonts w:ascii="Times New Roman" w:hAnsi="Times New Roman" w:cs="Times New Roman" w:eastAsia="微软雅黑"/>
                <w:lang w:eastAsia="zh-CN"/>
              </w:rPr>
              <w:t xml:space="preserve">和 </w:t>
            </w:r>
            <w:r>
              <w:rPr>
                <w:rFonts w:ascii="Times New Roman" w:hAnsi="Times New Roman" w:cs="Times New Roman" w:eastAsia="微软雅黑"/>
                <w:lang w:eastAsia="zh-CN"/>
              </w:rPr>
              <w:lastRenderedPageBreak/>
              <w:t xml:space="preserve">2SLS </w:t>
            </w:r>
            <w:proofErr w:type="gramEnd"/>
            <w:r>
              <w:rPr>
                <w:rFonts w:ascii="Times New Roman" w:hAnsi="Times New Roman" w:cs="Times New Roman" w:eastAsia="微软雅黑"/>
                <w:lang w:eastAsia="zh-CN"/>
              </w:rPr>
              <w:t>的适用条件。</w:t>
            </w:r>
          </w:p>
        </w:tc>
      </w:tr>
      <w:tr w:rsidR="003D7A36" w14:paraId="3D89A799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3EC2B" w14:textId="77777777" w:rsidR="003D7A36" w:rsidRDefault="00000000">
            <w:proofErr w:type="spellStart"/>
            <w:r>
              <w:rPr>
                <w:rFonts w:ascii="Times New Roman" w:hAnsi="Times New Roman" w:cs="Times New Roman" w:eastAsia="微软雅黑"/>
              </w:rPr>
              <w:lastRenderedPageBreak/>
              <w:t>提案写作</w:t>
            </w:r>
            <w:proofErr w:type="spellEnd"/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811A6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如何把文献阅读转化为可执行的研究设计？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9FA06" w14:textId="77777777" w:rsidR="003D7A36" w:rsidRDefault="00000000">
            <w:pPr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完成动机、贡献、文献、方法、结果与稳健性检查的研究提案结构。</w:t>
            </w:r>
          </w:p>
        </w:tc>
      </w:tr>
    </w:tbl>
    <w:p w14:paraId="64EF7651" w14:textId="77777777" w:rsidR="003D7A36" w:rsidRDefault="003D7A36">
      <w:pPr>
        <w:spacing w:after="0"/>
        <w:rPr>
          <w:lang w:eastAsia="zh-CN"/>
        </w:rPr>
      </w:pPr>
    </w:p>
    <w:p w14:paraId="519AE42E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课程目标可以概括为三点：第一，读懂金融文献中的研究动机、贡献和主要发现；第二，理解金融实证研究中常见的计量方法及其假设；第三，把金融理论和计量方法用于分析具体金融问题，并形成可检验的研究提案。</w:t>
      </w:r>
    </w:p>
    <w:p w14:paraId="3E30A1FC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二 课程导论 资产定价 公司金融与金融中介</w:t>
      </w:r>
    </w:p>
    <w:p w14:paraId="6AC32240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2.1 资产定价研究的对象</w:t>
      </w:r>
    </w:p>
    <w:p w14:paraId="5B05EC0E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资产定价研究解释金融资产价格如何形成，以及不同资产的预期收益为什么存在差异。理论框架可分为四类：</w:t>
      </w:r>
    </w:p>
    <w:p w14:paraId="0D3DCA21" w14:textId="77777777" w:rsidR="003D7A36" w:rsidRDefault="00000000">
      <w:pPr>
        <w:pStyle w:val="ListBullet"/>
        <w:spacing w:after="60"/>
      </w:pPr>
      <w:proofErr w:type="spellStart"/>
      <w:r>
        <w:rPr>
          <w:rFonts w:ascii="Times New Roman" w:hAnsi="Times New Roman" w:cs="Times New Roman" w:eastAsia="微软雅黑"/>
        </w:rPr>
        <w:t>因子模型：用少数共同风险因子解释横截面预期收益，例如</w:t>
      </w:r>
      <w:proofErr w:type="spellEnd"/>
      <w:r>
        <w:rPr>
          <w:rFonts w:ascii="Times New Roman" w:hAnsi="Times New Roman" w:cs="Times New Roman" w:eastAsia="微软雅黑"/>
        </w:rPr>
        <w:t xml:space="preserve"> </w:t>
      </w:r>
      <w:proofErr w:type="spellStart"/>
      <w:r>
        <w:rPr>
          <w:rFonts w:ascii="Times New Roman" w:hAnsi="Times New Roman" w:cs="Times New Roman" w:eastAsia="微软雅黑"/>
        </w:rPr>
        <w:t>CAPM、Fama-French</w:t>
      </w:r>
      <w:proofErr w:type="spellEnd"/>
      <w:r>
        <w:rPr>
          <w:rFonts w:ascii="Times New Roman" w:hAnsi="Times New Roman" w:cs="Times New Roman" w:eastAsia="微软雅黑"/>
        </w:rPr>
        <w:t xml:space="preserve"> </w:t>
      </w:r>
      <w:proofErr w:type="spellStart"/>
      <w:r>
        <w:rPr>
          <w:rFonts w:ascii="Times New Roman" w:hAnsi="Times New Roman" w:cs="Times New Roman" w:eastAsia="微软雅黑"/>
        </w:rPr>
        <w:t>三因子</w:t>
      </w:r>
      <w:proofErr w:type="spellEnd"/>
      <w:r>
        <w:rPr>
          <w:rFonts w:ascii="Times New Roman" w:hAnsi="Times New Roman" w:cs="Times New Roman" w:eastAsia="微软雅黑"/>
        </w:rPr>
        <w:t>/</w:t>
      </w:r>
      <w:proofErr w:type="spellStart"/>
      <w:r>
        <w:rPr>
          <w:rFonts w:ascii="Times New Roman" w:hAnsi="Times New Roman" w:cs="Times New Roman" w:eastAsia="微软雅黑"/>
        </w:rPr>
        <w:t>五因子模型和</w:t>
      </w:r>
      <w:proofErr w:type="spellEnd"/>
      <w:r>
        <w:rPr>
          <w:rFonts w:ascii="Times New Roman" w:hAnsi="Times New Roman" w:cs="Times New Roman" w:eastAsia="微软雅黑"/>
        </w:rPr>
        <w:t xml:space="preserve"> Carhart 四因子模型。</w:t>
      </w:r>
    </w:p>
    <w:p w14:paraId="167FFCD4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随机贴现因子模型：从边际投资者的跨期最优化出发，用随机贴现因子刻画价格与收益之间的关系。</w:t>
      </w:r>
    </w:p>
    <w:p w14:paraId="47130444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结构均衡模型：在禀赋经济或生产经济中建立资产价格与经济基本面的均衡关系。</w:t>
      </w:r>
    </w:p>
    <w:p w14:paraId="3F9787D5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需求系统模型：从投资者需求和市场清算出发，研究资产价格和持仓的共同决定。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58872575" w14:textId="77777777">
        <w:trPr>
          <w:jc w:val="center"/>
        </w:trPr>
        <w:tc>
          <w:tcPr>
            <w:tcW w:w="9746" w:type="dxa"/>
            <w:shd w:val="clear" w:color="auto" w:fill="F3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2DC22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为什么使用因子模型</w:t>
            </w:r>
          </w:p>
          <w:p w14:paraId="2703D174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因子模型是经验研究中较简洁的约化形式，可以帮助识别解释股票收益横截面差异的关键风险来源，并提供一套统一的投资组合检验框架。</w:t>
            </w:r>
          </w:p>
        </w:tc>
      </w:tr>
    </w:tbl>
    <w:p w14:paraId="53B4DCEF" w14:textId="77777777" w:rsidR="003D7A36" w:rsidRDefault="003D7A36">
      <w:pPr>
        <w:spacing w:after="0"/>
        <w:rPr>
          <w:lang w:eastAsia="zh-CN"/>
        </w:rPr>
      </w:pPr>
    </w:p>
    <w:p w14:paraId="5C8C9816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因子模型的局限也需要同时保留：它通常不直接解释因子背后的经济机制，难以回答政策或反事实问题；当候选因子不断增加时，还会面临多重检验、样本挖掘和因子拥挤等问题。因此，发现一个统计上显著的因子，不等于已经建立了完整的经济理论。</w:t>
      </w:r>
    </w:p>
    <w:p w14:paraId="18B366FA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2.2 公司金融研究的对象</w:t>
      </w:r>
    </w:p>
    <w:p w14:paraId="35823646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传统公司金融的决策目标是最大化企业价值；在股票交易且市场较为有效时，常进一步表述为最大化股东财富或股票价格。融资来源、资本结构、投资、创新、治理等问题，都可以被看作影响企业长期价值的决策或约束。</w:t>
      </w:r>
    </w:p>
    <w:p w14:paraId="5F68F0C5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lastRenderedPageBreak/>
        <w:t>其他目标，如利润、收入、企业规模、市场份额或 EVA，通常是中间目标。只有在这些目标与企业长期健康和价值高度一致时，它们才有助于价值最大化。</w:t>
      </w:r>
    </w:p>
    <w:p w14:paraId="57E9B17F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股票价格目标的优势在于具有一定的内部纠错机制：管理层损害股东利益可能触发公司控制权市场，股东损害债权人利益则会促使债权人在发行条款中加入保护性约束。</w:t>
      </w:r>
    </w:p>
    <w:p w14:paraId="3B4B3F9C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当传统价值最大化框架失效时，研究者需要考察治理机制、激励安排、信息披露和目标函数本身的改变。</w:t>
      </w:r>
    </w:p>
    <w:p w14:paraId="50D421C8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2.3 金融中介</w:t>
      </w:r>
    </w:p>
    <w:p w14:paraId="7520D4E3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金融中介研究关注银行、保险公司以及影子银行等机构在资本市场中的作用。研究主题包括银行监管、流动性监管、货币政策向实体经济的传导、低利率环境下的风险承担，以及银行安全资产配置。</w:t>
      </w:r>
    </w:p>
    <w:p w14:paraId="07940380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理解金融中介时，可以围绕三个功能展开：银行作为受托监督者，降低贷款人监督借款人的成本；银行作为流动性提供者，缓解期限错配与资金需求波动；银行与借款人的长期关系影响贷款契约、信息获取和融资条件。</w:t>
      </w:r>
    </w:p>
    <w:p w14:paraId="545702DE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三 面板数据模型与标准误</w:t>
      </w:r>
    </w:p>
    <w:p w14:paraId="2915CF6C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3.1 面板数据的基本结构</w:t>
      </w:r>
    </w:p>
    <w:p w14:paraId="44C334BB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面板数据同时包含横截面维度和时间维度，对同一研究对象进行重复观测。个体维度记为 </w:t>
      </w:r>
      <w:proofErr w:type="spellStart"/>
      <w:r>
        <w:rPr>
          <w:rFonts w:ascii="Times New Roman" w:hAnsi="Times New Roman" w:cs="Times New Roman" w:eastAsia="微软雅黑"/>
          <w:lang w:eastAsia="zh-CN"/>
        </w:rPr>
        <w:t>i</w:t>
      </w:r>
      <w:proofErr w:type="spellEnd"/>
      <w:r>
        <w:rPr>
          <w:rFonts w:ascii="Times New Roman" w:hAnsi="Times New Roman" w:cs="Times New Roman" w:eastAsia="微软雅黑"/>
          <w:lang w:eastAsia="zh-CN"/>
        </w:rPr>
        <w:t xml:space="preserve"> = 1,...,N，时间维度记为 t = 1,...,T。金融研究中常见的个体是公司、银行、城市或国家，时间维度则是年度、季度或月度。</w:t>
      </w:r>
    </w:p>
    <w:p w14:paraId="0FCAC340" w14:textId="77777777" w:rsidR="003D7A36" w:rsidRDefault="00000000">
      <w:pPr>
        <w:spacing w:before="60" w:after="140"/>
        <w:jc w:val="center"/>
      </w:pPr>
      <w:r>
        <w:rPr>
          <w:rFonts w:ascii="Times New Roman" w:eastAsia="微软雅黑" w:hAnsi="Times New Roman" w:cs="Times New Roman"/>
          <w:color w:val="000000"/>
          <w:sz w:val="22"/>
        </w:rPr>
        <w:t>yᵢₜ = αᵢ + xᵢₜ′β + εᵢₜ</w:t>
      </w:r>
    </w:p>
    <w:p w14:paraId="70B13581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其中，</w:t>
      </w:r>
      <w:r>
        <w:rPr>
          <w:rFonts w:ascii="Times New Roman" w:hAnsi="Times New Roman" w:cs="Times New Roman" w:eastAsia="微软雅黑"/>
        </w:rPr>
        <w:t>α</w:t>
      </w:r>
      <w:r>
        <w:rPr>
          <w:rFonts w:ascii="Times New Roman" w:hAnsi="Times New Roman" w:cs="Times New Roman" w:eastAsia="微软雅黑"/>
          <w:lang w:eastAsia="zh-CN"/>
        </w:rPr>
        <w:t>ᵢ 表示个体层面的时间不变因素，例如企业文化、管理传统或地理位置；xᵢₜ 是随时间变化的解释变量；</w:t>
      </w:r>
      <w:r>
        <w:rPr>
          <w:rFonts w:ascii="Times New Roman" w:hAnsi="Times New Roman" w:cs="Times New Roman" w:eastAsia="微软雅黑"/>
        </w:rPr>
        <w:t>ε</w:t>
      </w:r>
      <w:r>
        <w:rPr>
          <w:rFonts w:ascii="Times New Roman" w:hAnsi="Times New Roman" w:cs="Times New Roman" w:eastAsia="微软雅黑"/>
          <w:lang w:eastAsia="zh-CN"/>
        </w:rPr>
        <w:t>ᵢₜ 是剩余扰动。面板结构的价值在于可以利用同一单位的变化，同时控制一部分不可观测的时间不变异质性。</w:t>
      </w:r>
    </w:p>
    <w:p w14:paraId="595E8C19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3.2 固定效应与随机效应</w:t>
      </w:r>
    </w:p>
    <w:p w14:paraId="1B318D33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固定效应与随机效应的关键区别，是个体效应 </w:t>
      </w:r>
      <w:r>
        <w:rPr>
          <w:rFonts w:ascii="Times New Roman" w:hAnsi="Times New Roman" w:cs="Times New Roman" w:eastAsia="微软雅黑"/>
        </w:rPr>
        <w:t>α</w:t>
      </w:r>
      <w:r>
        <w:rPr>
          <w:rFonts w:ascii="Times New Roman" w:hAnsi="Times New Roman" w:cs="Times New Roman" w:eastAsia="微软雅黑"/>
          <w:lang w:eastAsia="zh-CN"/>
        </w:rPr>
        <w:t>ᵢ 是否与解释变量相关：</w:t>
      </w:r>
    </w:p>
    <w:p w14:paraId="5702A981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固定效应 FE：允许 </w:t>
      </w:r>
      <w:r>
        <w:rPr>
          <w:rFonts w:ascii="Times New Roman" w:hAnsi="Times New Roman" w:cs="Times New Roman" w:eastAsia="微软雅黑"/>
        </w:rPr>
        <w:t>α</w:t>
      </w:r>
      <w:r>
        <w:rPr>
          <w:rFonts w:ascii="Times New Roman" w:hAnsi="Times New Roman" w:cs="Times New Roman" w:eastAsia="微软雅黑"/>
          <w:lang w:eastAsia="zh-CN"/>
        </w:rPr>
        <w:t>ᵢ 与 xᵢₜ 相关。估计依赖个体内部的时间变化，适合存在不可观测且与解释变量相关的个体特征的情形。</w:t>
      </w:r>
    </w:p>
    <w:p w14:paraId="1C2D9AC0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随机效应 RE：假设 </w:t>
      </w:r>
      <w:r>
        <w:rPr>
          <w:rFonts w:ascii="Times New Roman" w:hAnsi="Times New Roman" w:cs="Times New Roman" w:eastAsia="微软雅黑"/>
        </w:rPr>
        <w:t>α</w:t>
      </w:r>
      <w:r>
        <w:rPr>
          <w:rFonts w:ascii="Times New Roman" w:hAnsi="Times New Roman" w:cs="Times New Roman" w:eastAsia="微软雅黑"/>
          <w:lang w:eastAsia="zh-CN"/>
        </w:rPr>
        <w:t>ᵢ 与解释变量不相关。若该假设成立，随机效应可以更有效率地利用组间和组内信息。</w:t>
      </w:r>
    </w:p>
    <w:p w14:paraId="1C9665E9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lastRenderedPageBreak/>
        <w:t>固定效应可以通过最小二乘虚拟变量法 LSDV 实现，也可以通过去均值变换实现。实证报告中还需要明确固定效应的层级：企业、行业、城市、地区和年份固定效应控制的变异来源不同，不能只写一个笼统的“加入固定效应”。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17866557" w14:textId="77777777">
        <w:trPr>
          <w:jc w:val="center"/>
        </w:trPr>
        <w:tc>
          <w:tcPr>
            <w:tcW w:w="9746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D04AEC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识别边界</w:t>
            </w:r>
          </w:p>
          <w:p w14:paraId="61D7312D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企业固定效应只能吸收企业层面的时间不变因素；它不能自动解决随时间变化的遗漏变量、反向因果或测量误差。固定效应是识别策略的一部分，不是因果结论的充分条件。</w:t>
            </w:r>
          </w:p>
        </w:tc>
      </w:tr>
    </w:tbl>
    <w:p w14:paraId="19EA73DA" w14:textId="77777777" w:rsidR="003D7A36" w:rsidRDefault="003D7A36">
      <w:pPr>
        <w:spacing w:after="0"/>
        <w:rPr>
          <w:lang w:eastAsia="zh-CN"/>
        </w:rPr>
      </w:pPr>
    </w:p>
    <w:p w14:paraId="526B4358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3.3 为什么要关注标准误</w:t>
      </w:r>
    </w:p>
    <w:p w14:paraId="780355F1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标准误衡量估计量的不确定性，直接影响 t 统计量、置信区间和显著性判断。面板数据中同一企业的多个年份观测往往共享冲击，或者同一时期的不同企业受到共同宏观冲击，因此误差项可能存在组内相关。若仍使用独立同分布假设下的标准误，显著性可能被高估。</w:t>
      </w:r>
    </w:p>
    <w:p w14:paraId="3304E9A0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3.4 聚类标准误</w:t>
      </w:r>
    </w:p>
    <w:p w14:paraId="5E836854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聚类标准误允许同一聚类内部的扰动项相关，同时假设不同聚类之间的相关性可以忽略。常见聚类层级包括企业、年份、行业、地区或政策实施单元。聚类层级应与误差相关的经济来源和处理变量的变化层级相匹配，而不是机械选择。</w:t>
      </w:r>
    </w:p>
    <w:p w14:paraId="72464A1C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一个重要的实践提醒是：加入企业固定效应并不会自动消除企业内误差相关，也不会自动替代聚类标准误。固定效应处理的是条件均值中的系统性差异，聚类标准误处理的是估计不确定性的相关结构。</w:t>
      </w:r>
    </w:p>
    <w:p w14:paraId="0D960E15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3.5 Fama-MacBeth 方法</w:t>
      </w:r>
    </w:p>
    <w:p w14:paraId="50A7037C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 xml:space="preserve">Fama-MacBeth 两步法通过逐期横截面回归，再对时间序列上的风险价格估计量求均值并计算标准误，主要用于处理面板中的横截面相关，并允许 </w:t>
      </w:r>
      <w:r>
        <w:rPr>
          <w:rFonts w:ascii="Times New Roman" w:hAnsi="Times New Roman" w:cs="Times New Roman" w:eastAsia="微软雅黑"/>
        </w:rPr>
        <w:t>β</w:t>
      </w:r>
      <w:r>
        <w:rPr>
          <w:rFonts w:ascii="Times New Roman" w:hAnsi="Times New Roman" w:cs="Times New Roman" w:eastAsia="微软雅黑"/>
          <w:lang w:eastAsia="zh-CN"/>
        </w:rPr>
        <w:t xml:space="preserve"> 随时间变化。它在现代聚类稳健标准误普及之前尤其方便，但今天仍应根据研究设计比较 Fama-MacBeth、单向或双向聚类等方案的适用性。</w:t>
      </w:r>
    </w:p>
    <w:p w14:paraId="323D8D4E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四 相关性 因果推断与线性回归</w:t>
      </w:r>
    </w:p>
    <w:p w14:paraId="7E62BA54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4.1 相关不等于因果</w:t>
      </w:r>
    </w:p>
    <w:p w14:paraId="2C933648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相关性描述两个变量是否共同变动，可以用于预测和发现模式；因果关系则需要说明在其他条件不变时，改变一个变量是否会导致另一个变量改变。金融和公司研究多使用观察数据，研究者无法像随机实验那样直接控制其他因素，因此因果解释必须依赖明确的识别假设。</w:t>
      </w:r>
    </w:p>
    <w:p w14:paraId="2696351C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lastRenderedPageBreak/>
        <w:t>4.2 Simpson 悖论与数据生成过程</w:t>
      </w:r>
    </w:p>
    <w:p w14:paraId="6B803B8D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Simpson 悖论指总体数据中的关系与分组数据中的关系方向不同。大学录取案例说明：如果男女申请人集中申请的院系不同，而各院系录取率也不同，汇总录取率的差异可能不能直接解释为性别偏见。该例的核心不是记忆结论，而是追问：分组变量是否同时影响解释变量和结果变量？数据是如何生成的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48DFF549" w14:textId="77777777">
        <w:trPr>
          <w:jc w:val="center"/>
        </w:trPr>
        <w:tc>
          <w:tcPr>
            <w:tcW w:w="9746" w:type="dxa"/>
            <w:shd w:val="clear" w:color="auto" w:fill="F3F6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797BE5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经验研究提醒</w:t>
            </w:r>
          </w:p>
          <w:p w14:paraId="1C92DAC8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没有写出一个假设，不代表该假设不存在。研究者应明确哪些变量被控制、哪些路径被排除，以及为什么这些设定符合数据生成过程。</w:t>
            </w:r>
          </w:p>
        </w:tc>
      </w:tr>
    </w:tbl>
    <w:p w14:paraId="52D1C810" w14:textId="77777777" w:rsidR="003D7A36" w:rsidRDefault="003D7A36">
      <w:pPr>
        <w:spacing w:after="0"/>
        <w:rPr>
          <w:lang w:eastAsia="zh-CN"/>
        </w:rPr>
      </w:pPr>
    </w:p>
    <w:p w14:paraId="54F4DFC8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4.3 DAG 与三类路径</w:t>
      </w:r>
    </w:p>
    <w:p w14:paraId="5139F0EB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有向无环图 DAG 用节点表示变量，用带方向的边表示可能的因果作用。无环意味着不存在变量通过一系列路径间接导致自身的反馈回路。DAG 的作用是把识别假设画出来，并帮助判断应该控制哪些变量。</w:t>
      </w:r>
    </w:p>
    <w:p w14:paraId="36DC4B7A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因果路径：从原因变量通向结果变量的直接或间接路径，应尽量保留。</w:t>
      </w:r>
    </w:p>
    <w:p w14:paraId="3C485492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混淆路径：由共同原因引起的非因果关联，需要通过合理控制混淆变量来阻断。</w:t>
      </w:r>
    </w:p>
    <w:p w14:paraId="3DE1494B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碰撞路径：两条箭头指向同一个碰撞点；控制碰撞变量可能打开原本关闭的非因果路径，引入选择偏差。</w:t>
      </w:r>
    </w:p>
    <w:p w14:paraId="06C59D70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对应的三类常见偏差是混淆偏差、过度控制偏差和碰撞/选择偏差。因果识别的简化原则是：保留目标因果路径，阻断混淆路径，避免因控制碰撞点而打开非因果路径。</w:t>
      </w:r>
    </w:p>
    <w:p w14:paraId="66358756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4.4 线性回归与条件均值独立</w:t>
      </w:r>
    </w:p>
    <w:p w14:paraId="2E95CA2E" w14:textId="77777777" w:rsidR="003D7A36" w:rsidRDefault="00000000">
      <w:pPr>
        <w:spacing w:before="60" w:after="140"/>
        <w:jc w:val="center"/>
      </w:pPr>
      <w:r>
        <w:rPr>
          <w:rFonts w:ascii="Times New Roman" w:eastAsia="微软雅黑" w:hAnsi="Times New Roman" w:cs="Times New Roman"/>
          <w:color w:val="000000"/>
          <w:sz w:val="22"/>
        </w:rPr>
        <w:t>yᵢ = β₁xᵢ₁ + β₂xᵢ₂ + ... + βₖxᵢₖ + εᵢ</w:t>
      </w:r>
    </w:p>
    <w:p w14:paraId="437A1BAE" w14:textId="77777777" w:rsidR="003D7A36" w:rsidRDefault="00000000">
      <w:pPr>
        <w:spacing w:before="60" w:after="140"/>
        <w:jc w:val="center"/>
        <w:rPr>
          <w:lang w:eastAsia="zh-CN"/>
        </w:rPr>
      </w:pP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>E(</w:t>
      </w:r>
      <w:r>
        <w:rPr>
          <w:rFonts w:ascii="Times New Roman" w:eastAsia="微软雅黑" w:hAnsi="Times New Roman" w:cs="Times New Roman"/>
          <w:color w:val="000000"/>
          <w:sz w:val="22"/>
        </w:rPr>
        <w:t>ε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>ᵢ | xᵢ₁, xᵢ₂, ..., xᵢₖ) = 0</w:t>
      </w:r>
    </w:p>
    <w:p w14:paraId="3E84BB4D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在给定线性形式和条件均值独立假设下，线性回归函数可以解释为条件期望函数。E(</w:t>
      </w:r>
      <w:proofErr w:type="spellStart"/>
      <w:r>
        <w:rPr>
          <w:rFonts w:ascii="Times New Roman" w:hAnsi="Times New Roman" w:cs="Times New Roman" w:eastAsia="微软雅黑"/>
        </w:rPr>
        <w:t>ε</w:t>
      </w:r>
      <w:r>
        <w:rPr>
          <w:rFonts w:ascii="Times New Roman" w:hAnsi="Times New Roman" w:cs="Times New Roman" w:eastAsia="微软雅黑"/>
          <w:lang w:eastAsia="zh-CN"/>
        </w:rPr>
        <w:t>|X</w:t>
      </w:r>
      <w:proofErr w:type="spellEnd"/>
      <w:r>
        <w:rPr>
          <w:rFonts w:ascii="Times New Roman" w:hAnsi="Times New Roman" w:cs="Times New Roman" w:eastAsia="微软雅黑"/>
          <w:lang w:eastAsia="zh-CN"/>
        </w:rPr>
        <w:t>)=0 表示在给定解释变量后，未解释部分的平均值不随 X 改变；它比简单的零相关条件更强，是把回归系数解释为因果效应的重要基础。</w:t>
      </w:r>
    </w:p>
    <w:p w14:paraId="051251B1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4.5 内生性及其来源</w:t>
      </w:r>
    </w:p>
    <w:p w14:paraId="2AD4A92D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当解释变量与误差项相关，即 E(εᵢ|xᵢₖ) ≠ 0 时，解释变量是内生的，OLS 系数一般会产生偏差。内生性主要来源可归纳为三类：</w:t>
      </w:r>
      <w:r>
        <w:rPr>
          <w:rFonts w:ascii="Times New Roman" w:hAnsi="Times New Roman" w:cs="Times New Roman" w:eastAsia="微软雅黑"/>
        </w:rPr>
      </w:r>
      <w:r>
        <w:rPr>
          <w:rFonts w:ascii="Times New Roman" w:hAnsi="Times New Roman" w:cs="Times New Roman" w:eastAsia="微软雅黑"/>
          <w:lang w:eastAsia="zh-CN"/>
        </w:rPr>
      </w:r>
    </w:p>
    <w:p w14:paraId="3B6AEDD4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遗漏变量偏差：未观测因素同时影响解释变量和结果变量。</w:t>
      </w:r>
    </w:p>
    <w:p w14:paraId="1032A6A0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同时性与反向因果：解释变量影响结果变量的同时，结果变量也影响解释变量。</w:t>
      </w:r>
    </w:p>
    <w:p w14:paraId="022EFBFB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lastRenderedPageBreak/>
        <w:t>测量误差：解释变量的观测值偏离真实值，导致回归关系被扭曲。</w:t>
      </w:r>
    </w:p>
    <w:p w14:paraId="5F8573F8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常见应对方法包括增加合理控制变量、寻找代理变量、使用面板模型和寻找有效工具变量。方法选择必须回应内生性的具体来源，不能把“加入更多控制变量”当作普遍有效的解决方案。</w:t>
      </w:r>
    </w:p>
    <w:p w14:paraId="1DBEDC3F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五 OLS 性质 统计推断与结果解释</w:t>
      </w:r>
    </w:p>
    <w:p w14:paraId="3E141DA0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5.1 OLS 的基本思路</w:t>
      </w:r>
    </w:p>
    <w:p w14:paraId="24C15A91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普通最小二乘法选择一组系数，使残差平方和最小。为了获得无偏、有效或可进行推断的估计，需要分别区分有限样本性质、渐近性质和误差分布假设。</w:t>
      </w:r>
    </w:p>
    <w:p w14:paraId="28BC458B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5.2 估计量的有限样本与渐近性质</w:t>
      </w:r>
    </w:p>
    <w:p w14:paraId="59C4A94E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无偏性：在经典假设成立时，估计量的期望等于真实参数。</w:t>
      </w:r>
    </w:p>
    <w:p w14:paraId="689FFDEF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方差与协方差：描述不同系数估计量的不确定性及其共同波动。</w:t>
      </w:r>
    </w:p>
    <w:p w14:paraId="5CDDA98A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一致性：样本量增加时，估计量以概率收敛到真实参数；通常需要渐近无偏且方差趋近于零。</w:t>
      </w:r>
    </w:p>
    <w:p w14:paraId="3EBE0CAB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渐近正态性：在大样本下，借助中心极限定理，可以在不依赖严格正态误差的情况下进行近似推断。</w:t>
      </w:r>
    </w:p>
    <w:p w14:paraId="1BF8C76D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5.3 假设检验与标准误</w:t>
      </w:r>
    </w:p>
    <w:p w14:paraId="32076921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小样本推断通常需要正态性条件，并使用 t 分布；大样本推断则依赖一致的方差估计量，并使用渐近正态分布。无论采用哪种方式，研究者都要说明标准误的计算方式、聚类层级和自由度处理。</w:t>
      </w:r>
    </w:p>
    <w:p w14:paraId="6158EA3B" w14:textId="77777777" w:rsidR="003D7A36" w:rsidRDefault="00000000">
      <w:pPr>
        <w:pStyle w:val="Heading2"/>
        <w:spacing w:before="120" w:after="100"/>
      </w:pPr>
      <w:r>
        <w:rPr>
          <w:rFonts w:ascii="Times New Roman" w:eastAsia="微软雅黑" w:hAnsi="Times New Roman" w:cs="Times New Roman"/>
          <w:color w:val="1F4E79"/>
        </w:rPr>
        <w:t xml:space="preserve">5.4 </w:t>
      </w:r>
      <w:proofErr w:type="spellStart"/>
      <w:r>
        <w:rPr>
          <w:rFonts w:ascii="Times New Roman" w:eastAsia="微软雅黑" w:hAnsi="Times New Roman" w:cs="Times New Roman"/>
          <w:color w:val="1F4E79"/>
        </w:rPr>
        <w:t>回归结果的经济解释</w:t>
      </w:r>
      <w:proofErr w:type="spellEnd"/>
    </w:p>
    <w:p w14:paraId="2B1ED212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先区分总体参数与样本估计量：回归表中的系数是对总体关系的估计，不是总体参数本身。</w:t>
      </w:r>
    </w:p>
    <w:p w14:paraId="586DC0F3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对数变换改变系数含义：log(Y) 对 X、Y 对 log(X)、log(Y) 对 log(X) 分别对应半弹性、边际变化和弹性解释。</w:t>
      </w:r>
    </w:p>
    <w:p w14:paraId="058FFDE7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变量缩放和位移会改变系数的数值表示，但不一定改变经济关系本身；解释时要回到变量的实际单位。</w:t>
      </w:r>
    </w:p>
    <w:p w14:paraId="000C2F4F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统计显著性不等于经济显著性：应进一步计算 X 增加一个标准差或一个有意义单位时，Y 的实际变化量。</w:t>
      </w:r>
    </w:p>
    <w:p w14:paraId="6E7F9980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5.5 交互项与子样本分析</w:t>
      </w:r>
    </w:p>
    <w:p w14:paraId="3030BF5C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使用交互项时，应同时保留构成交互项的原始变量，否则主效应和边际效应难以正确解释。交互项系数表示一个变量的边际效应如何随另一个变量变化，而不是简单的“两个变量都显著”。</w:t>
      </w:r>
    </w:p>
    <w:p w14:paraId="5929F746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子样本回归可以展示异质性，但需要说明分组标准、样本量、系数差异的正式检验，以及与全样本交互项设定之间的关系。仅比较两个子样本中的显著性和不显著性，不能推出两组系数显著不同。</w:t>
      </w:r>
    </w:p>
    <w:p w14:paraId="3A0023E1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lastRenderedPageBreak/>
        <w:t>六 工具变量与两阶段最小二乘</w:t>
      </w:r>
    </w:p>
    <w:p w14:paraId="326D3459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6.1 工具变量的动机</w:t>
      </w:r>
    </w:p>
    <w:p w14:paraId="227E0A5C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当核心解释变量内生时，工具变量 Z 提供一条替代识别路径。工具变量不要求直接解释结果变量，而要求它能够改变内生解释变量，并且不会通过其他渠道直接影响结果变量。</w:t>
      </w:r>
    </w:p>
    <w:p w14:paraId="58601E99" w14:textId="77777777" w:rsidR="003D7A36" w:rsidRDefault="00000000">
      <w:pPr>
        <w:pStyle w:val="Heading2"/>
        <w:spacing w:before="120" w:after="100"/>
      </w:pPr>
      <w:r>
        <w:rPr>
          <w:rFonts w:ascii="Times New Roman" w:eastAsia="微软雅黑" w:hAnsi="Times New Roman" w:cs="Times New Roman"/>
          <w:color w:val="1F4E79"/>
        </w:rPr>
        <w:t xml:space="preserve">6.2 </w:t>
      </w:r>
      <w:proofErr w:type="spellStart"/>
      <w:r>
        <w:rPr>
          <w:rFonts w:ascii="Times New Roman" w:eastAsia="微软雅黑" w:hAnsi="Times New Roman" w:cs="Times New Roman"/>
          <w:color w:val="1F4E79"/>
        </w:rPr>
        <w:t>两个核心条件</w:t>
      </w:r>
      <w:proofErr w:type="spellEnd"/>
    </w:p>
    <w:p w14:paraId="7A82AFBE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相关性 Relevance：工具变量与内生解释变量相关。第一阶段回归中，工具变量需要对内生变量有足够解释力。</w:t>
      </w:r>
    </w:p>
    <w:p w14:paraId="029CF5E7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排除性 Exclusion：在控制其他变量后，工具变量不能通过内生解释变量之外的渠道影响结果变量；它还应与结构方程误差项不相关。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780AED33" w14:textId="77777777">
        <w:trPr>
          <w:jc w:val="center"/>
        </w:trPr>
        <w:tc>
          <w:tcPr>
            <w:tcW w:w="9746" w:type="dxa"/>
            <w:shd w:val="clear" w:color="auto" w:fill="FFF2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92455B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工具变量的难点</w:t>
            </w:r>
          </w:p>
          <w:p w14:paraId="387B94DE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相关性可以通过第一阶段统计量部分检验；排除性通常依赖经济机制和研究设计，不能仅靠一个回归表证明。有效工具变量的寻找需要逻辑、制度背景和跨学科证据。</w:t>
            </w:r>
          </w:p>
        </w:tc>
      </w:tr>
    </w:tbl>
    <w:p w14:paraId="563AB496" w14:textId="77777777" w:rsidR="003D7A36" w:rsidRDefault="003D7A36">
      <w:pPr>
        <w:spacing w:after="0"/>
        <w:rPr>
          <w:lang w:eastAsia="zh-CN"/>
        </w:rPr>
      </w:pPr>
    </w:p>
    <w:p w14:paraId="252ED076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6.3 2SLS 的两个阶段</w:t>
      </w:r>
    </w:p>
    <w:p w14:paraId="0FFFFCE9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设 X 为内生解释变量，Z 为工具变量，W 为外生控制变量。两阶段最小二乘法先用 Z 和 W 预测 X，再用预测得到的外生部分解释 Y：</w:t>
      </w:r>
    </w:p>
    <w:p w14:paraId="6A963967" w14:textId="77777777" w:rsidR="003D7A36" w:rsidRDefault="00000000">
      <w:pPr>
        <w:spacing w:before="60" w:after="140"/>
        <w:jc w:val="center"/>
        <w:rPr>
          <w:lang w:eastAsia="zh-CN"/>
        </w:rPr>
      </w:pP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第一阶段：Xᵢ = </w:t>
      </w:r>
      <w:r>
        <w:rPr>
          <w:rFonts w:ascii="Times New Roman" w:eastAsia="微软雅黑" w:hAnsi="Times New Roman" w:cs="Times New Roman"/>
          <w:color w:val="000000"/>
          <w:sz w:val="22"/>
        </w:rPr>
        <w:t>π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₀ + </w:t>
      </w:r>
      <w:r>
        <w:rPr>
          <w:rFonts w:ascii="Times New Roman" w:eastAsia="微软雅黑" w:hAnsi="Times New Roman" w:cs="Times New Roman"/>
          <w:color w:val="000000"/>
          <w:sz w:val="22"/>
        </w:rPr>
        <w:t>π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₁Zᵢ + </w:t>
      </w:r>
      <w:r>
        <w:rPr>
          <w:rFonts w:ascii="Times New Roman" w:eastAsia="微软雅黑" w:hAnsi="Times New Roman" w:cs="Times New Roman"/>
          <w:color w:val="000000"/>
          <w:sz w:val="22"/>
        </w:rPr>
        <w:t>π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>₂Wᵢ + vᵢ</w:t>
      </w:r>
    </w:p>
    <w:p w14:paraId="20251E8E" w14:textId="77777777" w:rsidR="003D7A36" w:rsidRDefault="00000000">
      <w:pPr>
        <w:spacing w:before="60" w:after="140"/>
        <w:jc w:val="center"/>
        <w:rPr>
          <w:lang w:eastAsia="zh-CN"/>
        </w:rPr>
      </w:pP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第二阶段：Yᵢ = </w:t>
      </w:r>
      <w:r>
        <w:rPr>
          <w:rFonts w:ascii="Times New Roman" w:eastAsia="微软雅黑" w:hAnsi="Times New Roman" w:cs="Times New Roman"/>
          <w:color w:val="000000"/>
          <w:sz w:val="22"/>
        </w:rPr>
        <w:t>β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₀ + </w:t>
      </w:r>
      <w:r>
        <w:rPr>
          <w:rFonts w:ascii="Times New Roman" w:eastAsia="微软雅黑" w:hAnsi="Times New Roman" w:cs="Times New Roman"/>
          <w:color w:val="000000"/>
          <w:sz w:val="22"/>
        </w:rPr>
        <w:t>β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 xml:space="preserve">₁X̂ᵢ + </w:t>
      </w:r>
      <w:r>
        <w:rPr>
          <w:rFonts w:ascii="Times New Roman" w:eastAsia="微软雅黑" w:hAnsi="Times New Roman" w:cs="Times New Roman"/>
          <w:color w:val="000000"/>
          <w:sz w:val="22"/>
        </w:rPr>
        <w:t>β</w:t>
      </w:r>
      <w:r>
        <w:rPr>
          <w:rFonts w:ascii="Times New Roman" w:eastAsia="微软雅黑" w:hAnsi="Times New Roman" w:cs="Times New Roman"/>
          <w:color w:val="000000"/>
          <w:sz w:val="22"/>
          <w:lang w:eastAsia="zh-CN"/>
        </w:rPr>
        <w:t>₂Wᵢ + uᵢ</w:t>
      </w:r>
    </w:p>
    <w:p w14:paraId="4B11E3E9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第一阶段提取的是由工具变量解释的 X 的外生变化，第二阶段使用 X 的预测值估计结构关系。2SLS 的优点是流程清晰、可以同时处理多个外生控制变量，也便于讨论识别和过度识别。</w:t>
      </w:r>
    </w:p>
    <w:p w14:paraId="08612F93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6.4 识别与过度识别</w:t>
      </w:r>
    </w:p>
    <w:p w14:paraId="136ACA49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识别要求工具变量数量与内生变量数量之间满足秩条件。一个内生变量配一个有效工具变量时是恰好识别；工具变量多于内生变量时是过度识别，可以使用过度识别检验考察工具变量整体外生性的相容性，但检验未拒绝并不能证明所有工具变量都真正有效。</w:t>
      </w:r>
    </w:p>
    <w:p w14:paraId="02DF089F" w14:textId="77777777" w:rsidR="003D7A36" w:rsidRDefault="00000000">
      <w:pPr>
        <w:pStyle w:val="Heading2"/>
        <w:spacing w:before="120" w:after="100"/>
        <w:rPr>
          <w:lang w:eastAsia="zh-CN"/>
        </w:rPr>
      </w:pPr>
      <w:r>
        <w:rPr>
          <w:rFonts w:ascii="Times New Roman" w:eastAsia="微软雅黑" w:hAnsi="Times New Roman" w:cs="Times New Roman"/>
          <w:color w:val="1F4E79"/>
          <w:lang w:eastAsia="zh-CN"/>
        </w:rPr>
        <w:t>6.5 弱工具变量及实践检验</w:t>
      </w:r>
    </w:p>
    <w:p w14:paraId="415A74C8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弱工具变量会使 2SLS 估计偏向 OLS，并导致标准误和常规显著性检验失真。实践中应报告第一阶段相关性诊断，并根据研究情境考虑弱工具稳健推断。</w:t>
      </w:r>
    </w:p>
    <w:p w14:paraId="463EFF44" w14:textId="77777777" w:rsidR="003D7A36" w:rsidRDefault="00000000">
      <w:pPr>
        <w:pStyle w:val="ListBullet"/>
        <w:spacing w:after="60"/>
      </w:pPr>
      <w:proofErr w:type="spellStart"/>
      <w:r>
        <w:rPr>
          <w:rFonts w:ascii="Times New Roman" w:hAnsi="Times New Roman" w:cs="Times New Roman" w:eastAsia="微软雅黑"/>
        </w:rPr>
        <w:lastRenderedPageBreak/>
        <w:t>内生性检验：可使用</w:t>
      </w:r>
      <w:proofErr w:type="spellEnd"/>
      <w:r>
        <w:rPr>
          <w:rFonts w:ascii="Times New Roman" w:hAnsi="Times New Roman" w:cs="Times New Roman" w:eastAsia="微软雅黑"/>
        </w:rPr>
        <w:t xml:space="preserve"> Hausman 或 Durbin-Wu-Hausman 思路比较 OLS 与 IV 估计是否存在系统差异。</w:t>
      </w:r>
    </w:p>
    <w:p w14:paraId="79D39FAD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工具变量有效性：在过度识别情形下，可以报告过度识别检验，但必须结合经济机制解释。</w:t>
      </w:r>
    </w:p>
    <w:p w14:paraId="46A1B718" w14:textId="77777777" w:rsidR="003D7A36" w:rsidRDefault="00000000">
      <w:pPr>
        <w:pStyle w:val="ListBullet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局部平均处理效应 LATE：IV 估计通常识别的是服从工具变量诱导的处理者群体的局部效应，而非对所有个体普遍成立的平均效应。</w:t>
      </w:r>
    </w:p>
    <w:p w14:paraId="44F9E850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使用 IV 时，提案中必须明确：内生性来自哪里、工具变量如何改变处理变量、为什么工具变量不会通过其他渠道影响结果、识别的是哪一类对象，以及估计结果的外推边界。</w:t>
      </w:r>
    </w:p>
    <w:p w14:paraId="425221AD" w14:textId="77777777" w:rsidR="003D7A36" w:rsidRDefault="00000000">
      <w:pPr>
        <w:pStyle w:val="Heading1"/>
        <w:spacing w:before="200" w:after="100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七 研究提案写作框架</w:t>
      </w:r>
    </w:p>
    <w:p w14:paraId="63E2B0CE" w14:textId="77777777" w:rsidR="003D7A36" w:rsidRDefault="00000000">
      <w:pPr>
        <w:spacing w:after="12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课程考核以研究提案为核心。一个可执行的提案应把研究问题、识别策略和数据资源连接起来，而不是只罗列文献。建议按照以下顺序组织：</w:t>
      </w:r>
    </w:p>
    <w:p w14:paraId="0AA5A934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研究动机：说明现实问题或理论矛盾，指出现有研究留下的具体缺口。</w:t>
      </w:r>
    </w:p>
    <w:p w14:paraId="1058E59E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研究贡献：分别说明理论、识别、数据或政策含义上的新增内容，避免把“研究对象不同”直接当作贡献。</w:t>
      </w:r>
    </w:p>
    <w:p w14:paraId="3D6D9AF1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文献综述：围绕研究问题组织文献，比较研究设计、结论和局限，形成自己的定位。</w:t>
      </w:r>
    </w:p>
    <w:p w14:paraId="30DDE066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研究方法：明确结果变量、核心解释变量、控制变量、固定效应、标准误和识别假设。</w:t>
      </w:r>
    </w:p>
    <w:p w14:paraId="4AF68285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实证结果：先报告基准结果，再解释系数大小、统计显著性和经济显著性。</w:t>
      </w:r>
    </w:p>
    <w:p w14:paraId="6DF9FD82" w14:textId="77777777" w:rsidR="003D7A36" w:rsidRDefault="00000000">
      <w:pPr>
        <w:pStyle w:val="ListNumber"/>
        <w:spacing w:after="60"/>
        <w:rPr>
          <w:lang w:eastAsia="zh-CN"/>
        </w:rPr>
      </w:pPr>
      <w:r>
        <w:rPr>
          <w:rFonts w:ascii="Times New Roman" w:hAnsi="Times New Roman" w:cs="Times New Roman" w:eastAsia="微软雅黑"/>
          <w:lang w:eastAsia="zh-CN"/>
        </w:rPr>
        <w:t>稳健性检查：针对遗漏变量、替代变量、样本选择、反向因果、测量误差和估计设定逐项设计检验。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D7A36" w14:paraId="283B19D0" w14:textId="77777777">
        <w:trPr>
          <w:jc w:val="center"/>
        </w:trPr>
        <w:tc>
          <w:tcPr>
            <w:tcW w:w="9746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7F5239" w14:textId="77777777" w:rsidR="003D7A36" w:rsidRDefault="00000000">
            <w:pPr>
              <w:spacing w:after="6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b/>
                <w:color w:val="1F4E79"/>
                <w:lang w:eastAsia="zh-CN"/>
              </w:rPr>
              <w:t>提案自检问题</w:t>
            </w:r>
          </w:p>
          <w:p w14:paraId="7182210E" w14:textId="77777777" w:rsidR="003D7A36" w:rsidRDefault="00000000">
            <w:pPr>
              <w:spacing w:after="0"/>
              <w:rPr>
                <w:lang w:eastAsia="zh-CN"/>
              </w:rPr>
            </w:pPr>
            <w:r>
              <w:rPr>
                <w:rFonts w:ascii="Times New Roman" w:hAnsi="Times New Roman" w:cs="Times New Roman" w:eastAsia="微软雅黑"/>
                <w:lang w:eastAsia="zh-CN"/>
              </w:rPr>
              <w:t>如果删除一张回归表，研究结论是否仍然可以由识别逻辑支持？如果更换样本期或聚类层级，结论是否会改变？如果工具变量或固定效应失效，论文的核心贡献还剩下什么？</w:t>
            </w:r>
          </w:p>
        </w:tc>
      </w:tr>
    </w:tbl>
    <w:p w14:paraId="7E5A009F" w14:textId="77777777" w:rsidR="003D7A36" w:rsidRDefault="003D7A36">
      <w:pPr>
        <w:spacing w:after="0"/>
        <w:rPr>
          <w:lang w:eastAsia="zh-CN"/>
        </w:rPr>
      </w:pPr>
    </w:p>
    <w:sectPr w:rsidR="003D7A36" w:rsidSect="0003461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3A6A0" w14:textId="77777777" w:rsidR="00926B39" w:rsidRDefault="00926B39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endnote>
  <w:endnote w:type="continuationSeparator" w:id="0">
    <w:p w14:paraId="0F0EA0D2" w14:textId="77777777" w:rsidR="00926B39" w:rsidRDefault="00926B39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A9C35" w14:textId="77777777" w:rsidR="003D7A36" w:rsidRDefault="00000000">
    <w:pPr>
      <w:pStyle w:val="Footer"/>
      <w:jc w:val="center"/>
    </w:pPr>
    <w:r>
      <w:rPr>
        <w:rFonts w:ascii="Times New Roman" w:hAnsi="Times New Roman" w:cs="Times New Roman" w:eastAsia="微软雅黑"/>
        <w:color w:val="808080"/>
        <w:sz w:val="18"/>
      </w:rPr>
      <w:t xml:space="preserve">Frontiers of Finance </w:t>
    </w:r>
    <w:proofErr w:type="spellStart"/>
    <w:r>
      <w:rPr>
        <w:rFonts w:ascii="Times New Roman" w:hAnsi="Times New Roman" w:cs="Times New Roman" w:eastAsia="微软雅黑"/>
        <w:color w:val="808080"/>
        <w:sz w:val="18"/>
      </w:rPr>
      <w:t>课程笔记</w:t>
    </w:r>
    <w:proofErr w:type="spellEnd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37A40" w14:textId="77777777" w:rsidR="00926B39" w:rsidRDefault="00926B39">
      <w:pPr>
        <w:spacing w:after="0" w:line="240" w:lineRule="auto"/>
      </w:pPr>
      <w:r>
        <w:rPr>
          <w:rFonts w:ascii="Times New Roman" w:hAnsi="Times New Roman" w:cs="Times New Roman" w:eastAsia="微软雅黑"/>
        </w:rPr>
        <w:separator/>
      </w:r>
    </w:p>
  </w:footnote>
  <w:footnote w:type="continuationSeparator" w:id="0">
    <w:p w14:paraId="24418192" w14:textId="77777777" w:rsidR="00926B39" w:rsidRDefault="00926B39">
      <w:pPr>
        <w:spacing w:after="0" w:line="240" w:lineRule="auto"/>
      </w:pPr>
      <w:r>
        <w:rPr>
          <w:rFonts w:ascii="Times New Roman" w:hAnsi="Times New Roman" w:cs="Times New Roman" w:eastAsia="微软雅黑"/>
        </w:rP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582605">
    <w:abstractNumId w:val="8"/>
  </w:num>
  <w:num w:numId="2" w16cid:durableId="1332292382">
    <w:abstractNumId w:val="6"/>
  </w:num>
  <w:num w:numId="3" w16cid:durableId="1823354797">
    <w:abstractNumId w:val="5"/>
  </w:num>
  <w:num w:numId="4" w16cid:durableId="129788281">
    <w:abstractNumId w:val="4"/>
  </w:num>
  <w:num w:numId="5" w16cid:durableId="817500839">
    <w:abstractNumId w:val="7"/>
  </w:num>
  <w:num w:numId="6" w16cid:durableId="1684939950">
    <w:abstractNumId w:val="3"/>
  </w:num>
  <w:num w:numId="7" w16cid:durableId="1082532324">
    <w:abstractNumId w:val="2"/>
  </w:num>
  <w:num w:numId="8" w16cid:durableId="1145851425">
    <w:abstractNumId w:val="1"/>
  </w:num>
  <w:num w:numId="9" w16cid:durableId="94569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A36"/>
    <w:rsid w:val="0074618E"/>
    <w:rsid w:val="007F7881"/>
    <w:rsid w:val="00926B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CCFDC"/>
  <w14:defaultImageDpi w14:val="300"/>
  <w15:docId w15:val="{8EE888EC-BF5E-4382-B94D-8FCBD6D9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微软雅黑" w:hAnsi="Times New Roman" w:cs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微软雅黑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微软雅黑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微软雅黑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微软雅黑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微软雅黑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微软雅黑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微软雅黑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3158</Words>
  <Characters>3601</Characters>
  <Application>Microsoft Office Word</Application>
  <DocSecurity>0</DocSecurity>
  <Lines>138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Frontiers of Finance 课程笔记</dc:title>
  <dc:subject>资产定价 公司金融 金融计量与研究提案</dc:subject>
  <dc:creator/>
  <cp:keywords/>
  <dc:description/>
  <cp:lastModifiedBy>Bowen Xue</cp:lastModifiedBy>
  <cp:revision>2</cp:revision>
  <dcterms:created xsi:type="dcterms:W3CDTF">2013-12-23T23:15:00Z</dcterms:created>
  <dcterms:modified xsi:type="dcterms:W3CDTF">2026-09-13T08:51:00Z</dcterms:modified>
  <cp:category/>
</cp:coreProperties>
</file>