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Black" w:hAnsi="Arial Black"/>
          <w:sz w:val="32"/>
          <w:szCs w:val="32"/>
        </w:rPr>
      </w:pPr>
      <w:r>
        <w:rPr>
          <w:rFonts w:ascii="Arial Black" w:hAnsi="Arial Black"/>
          <w:sz w:val="32"/>
          <w:szCs w:val="32"/>
        </w:rPr>
        <w:drawing>
          <wp:inline distT="0" distB="0" distL="0" distR="0">
            <wp:extent cx="3301365" cy="602615"/>
            <wp:effectExtent l="0" t="0" r="6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301365" cy="602615"/>
                    </a:xfrm>
                    <a:prstGeom prst="rect">
                      <a:avLst/>
                    </a:prstGeom>
                    <a:noFill/>
                  </pic:spPr>
                </pic:pic>
              </a:graphicData>
            </a:graphic>
          </wp:inline>
        </w:drawing>
      </w:r>
    </w:p>
    <w:p>
      <w:pPr>
        <w:jc w:val="center"/>
        <w:rPr>
          <w:rFonts w:ascii="Tahoma" w:hAnsi="Tahoma" w:cs="Tahoma"/>
          <w:b/>
          <w:sz w:val="32"/>
          <w:szCs w:val="32"/>
        </w:rPr>
      </w:pPr>
    </w:p>
    <w:p>
      <w:pPr>
        <w:jc w:val="center"/>
        <w:rPr>
          <w:rFonts w:ascii="Tahoma" w:hAnsi="Tahoma" w:cs="Tahoma"/>
          <w:b/>
          <w:sz w:val="32"/>
          <w:szCs w:val="32"/>
        </w:rPr>
      </w:pPr>
      <w:r>
        <w:rPr>
          <w:rFonts w:hint="eastAsia" w:ascii="Tahoma" w:hAnsi="Tahoma" w:cs="Tahoma"/>
          <w:b/>
          <w:sz w:val="32"/>
          <w:szCs w:val="32"/>
        </w:rPr>
        <w:t>Principles of Marketing-individual report</w:t>
      </w:r>
    </w:p>
    <w:p>
      <w:pPr>
        <w:jc w:val="left"/>
        <w:rPr>
          <w:rFonts w:ascii="Arial Black" w:hAnsi="Arial Black"/>
          <w:sz w:val="32"/>
          <w:szCs w:val="32"/>
        </w:rPr>
      </w:pPr>
    </w:p>
    <w:p>
      <w:pPr>
        <w:rPr>
          <w:u w:val="single"/>
        </w:rPr>
      </w:pPr>
      <w:r>
        <w:rPr>
          <w:rFonts w:hint="eastAsia" w:ascii="Arial Black" w:hAnsi="Arial Black"/>
          <w:sz w:val="32"/>
          <w:szCs w:val="32"/>
        </w:rPr>
        <w:t xml:space="preserve">Title of Report  </w:t>
      </w:r>
      <w:r>
        <w:rPr>
          <w:rFonts w:hint="eastAsia" w:ascii="Arial Black" w:hAnsi="Arial Black"/>
          <w:sz w:val="32"/>
          <w:szCs w:val="32"/>
          <w:u w:val="single"/>
        </w:rPr>
        <w:t xml:space="preserve"> </w:t>
      </w:r>
      <w:r>
        <w:rPr>
          <w:rFonts w:hint="eastAsia" w:ascii="Arial Black" w:hAnsi="Arial Black"/>
          <w:b/>
          <w:sz w:val="32"/>
          <w:szCs w:val="32"/>
          <w:u w:val="single"/>
        </w:rPr>
        <w:t xml:space="preserve"> Market analysis and planning for Wong Lo Kat </w:t>
      </w:r>
      <w:r>
        <w:rPr>
          <w:rFonts w:hint="eastAsia"/>
          <w:b/>
          <w:u w:val="single"/>
        </w:rPr>
        <w:t xml:space="preserve"> </w:t>
      </w:r>
      <w:r>
        <w:rPr>
          <w:rFonts w:hint="eastAsia"/>
          <w:u w:val="single"/>
        </w:rPr>
        <w:t xml:space="preserve">                                       </w:t>
      </w:r>
    </w:p>
    <w:p>
      <w:pPr/>
    </w:p>
    <w:p>
      <w:pPr/>
    </w:p>
    <w:p>
      <w:pPr>
        <w:rPr>
          <w:rFonts w:ascii="Arial Black" w:hAnsi="Arial Black"/>
          <w:b/>
          <w:sz w:val="30"/>
          <w:szCs w:val="30"/>
          <w:u w:val="single"/>
        </w:rPr>
      </w:pPr>
      <w:r>
        <w:rPr>
          <w:rFonts w:ascii="Arial Black" w:hAnsi="Arial Black"/>
          <w:b/>
          <w:sz w:val="30"/>
          <w:szCs w:val="30"/>
        </w:rPr>
        <w:t>Class</w:t>
      </w:r>
      <w:r>
        <w:rPr>
          <w:rFonts w:hint="eastAsia" w:ascii="Arial Black" w:hAnsi="Arial Black"/>
          <w:b/>
          <w:sz w:val="30"/>
          <w:szCs w:val="30"/>
        </w:rPr>
        <w:t xml:space="preserve">              </w:t>
      </w:r>
      <w:r>
        <w:rPr>
          <w:rFonts w:hint="eastAsia" w:ascii="Arial Black" w:hAnsi="Arial Black"/>
          <w:b/>
          <w:sz w:val="30"/>
          <w:szCs w:val="30"/>
          <w:u w:val="single"/>
        </w:rPr>
        <w:t xml:space="preserve">        </w:t>
      </w:r>
      <w:r>
        <w:rPr>
          <w:rFonts w:hint="eastAsia" w:ascii="Arial Black" w:hAnsi="Arial Black"/>
          <w:b/>
          <w:sz w:val="30"/>
          <w:szCs w:val="30"/>
          <w:u w:val="single"/>
          <w:lang w:val="en-US" w:eastAsia="zh-CN"/>
        </w:rPr>
        <w:t>2002</w:t>
      </w:r>
      <w:r>
        <w:rPr>
          <w:rFonts w:hint="eastAsia" w:ascii="Arial Black" w:hAnsi="Arial Black"/>
          <w:b/>
          <w:sz w:val="30"/>
          <w:szCs w:val="30"/>
          <w:u w:val="single"/>
        </w:rPr>
        <w:t xml:space="preserve">                   </w:t>
      </w:r>
    </w:p>
    <w:p>
      <w:pPr>
        <w:rPr>
          <w:rFonts w:ascii="Arial Black" w:hAnsi="Arial Black"/>
          <w:b/>
          <w:sz w:val="30"/>
          <w:szCs w:val="30"/>
        </w:rPr>
      </w:pPr>
      <w:r>
        <w:rPr>
          <w:rFonts w:ascii="Arial Black" w:hAnsi="Arial Black"/>
          <w:b/>
          <w:sz w:val="30"/>
          <w:szCs w:val="30"/>
        </w:rPr>
        <w:t>S</w:t>
      </w:r>
      <w:r>
        <w:rPr>
          <w:rFonts w:hint="eastAsia" w:ascii="Arial Black" w:hAnsi="Arial Black"/>
          <w:b/>
          <w:sz w:val="30"/>
          <w:szCs w:val="30"/>
        </w:rPr>
        <w:t xml:space="preserve">tudent </w:t>
      </w:r>
      <w:r>
        <w:rPr>
          <w:rFonts w:ascii="Arial Black" w:hAnsi="Arial Black"/>
          <w:b/>
          <w:sz w:val="30"/>
          <w:szCs w:val="30"/>
        </w:rPr>
        <w:t>N</w:t>
      </w:r>
      <w:r>
        <w:rPr>
          <w:rFonts w:hint="eastAsia" w:ascii="Arial Black" w:hAnsi="Arial Black"/>
          <w:b/>
          <w:sz w:val="30"/>
          <w:szCs w:val="30"/>
        </w:rPr>
        <w:t>umber</w:t>
      </w:r>
      <w:r>
        <w:rPr>
          <w:rFonts w:ascii="Arial Black" w:hAnsi="Arial Black"/>
          <w:b/>
          <w:sz w:val="30"/>
          <w:szCs w:val="30"/>
        </w:rPr>
        <w:t xml:space="preserve"> </w:t>
      </w:r>
      <w:r>
        <w:rPr>
          <w:rFonts w:hint="eastAsia" w:ascii="Arial Black" w:hAnsi="Arial Black"/>
          <w:b/>
          <w:sz w:val="30"/>
          <w:szCs w:val="30"/>
        </w:rPr>
        <w:t xml:space="preserve">    </w:t>
      </w:r>
      <w:r>
        <w:rPr>
          <w:rFonts w:hint="eastAsia" w:ascii="Arial Black" w:hAnsi="Arial Black"/>
          <w:b/>
          <w:sz w:val="30"/>
          <w:szCs w:val="30"/>
          <w:u w:val="single"/>
        </w:rPr>
        <w:t xml:space="preserve">           </w:t>
      </w:r>
      <w:bookmarkStart w:id="0" w:name="_GoBack"/>
      <w:bookmarkEnd w:id="0"/>
      <w:r>
        <w:rPr>
          <w:rFonts w:hint="eastAsia" w:ascii="Arial Black" w:hAnsi="Arial Black"/>
          <w:b/>
          <w:sz w:val="30"/>
          <w:szCs w:val="30"/>
          <w:u w:val="single"/>
        </w:rPr>
        <w:t xml:space="preserve">        </w:t>
      </w:r>
    </w:p>
    <w:p>
      <w:pPr>
        <w:autoSpaceDE w:val="0"/>
        <w:autoSpaceDN w:val="0"/>
        <w:adjustRightInd w:val="0"/>
      </w:pPr>
      <w:r>
        <w:rPr>
          <w:rFonts w:ascii="Arial Black" w:hAnsi="Arial Black"/>
          <w:b/>
          <w:sz w:val="30"/>
          <w:szCs w:val="30"/>
        </w:rPr>
        <w:t>F</w:t>
      </w:r>
      <w:r>
        <w:rPr>
          <w:rFonts w:hint="eastAsia" w:ascii="Arial Black" w:hAnsi="Arial Black"/>
          <w:b/>
          <w:sz w:val="30"/>
          <w:szCs w:val="30"/>
        </w:rPr>
        <w:t xml:space="preserve">ull Name             </w:t>
      </w:r>
      <w:r>
        <w:rPr>
          <w:rFonts w:hint="eastAsia" w:ascii="Arial Black" w:hAnsi="Arial Black"/>
          <w:b/>
          <w:sz w:val="30"/>
          <w:szCs w:val="30"/>
          <w:u w:val="single"/>
        </w:rPr>
        <w:t xml:space="preserve">                       </w:t>
      </w:r>
      <w:r>
        <w:rPr>
          <w:rFonts w:hint="eastAsia"/>
        </w:rPr>
        <w:t xml:space="preserve">   </w:t>
      </w:r>
    </w:p>
    <w:p>
      <w:pPr>
        <w:autoSpaceDE w:val="0"/>
        <w:autoSpaceDN w:val="0"/>
        <w:adjustRightInd w:val="0"/>
      </w:pPr>
    </w:p>
    <w:p>
      <w:pPr>
        <w:autoSpaceDE w:val="0"/>
        <w:autoSpaceDN w:val="0"/>
        <w:adjustRightInd w:val="0"/>
      </w:pPr>
    </w:p>
    <w:p>
      <w:pPr>
        <w:autoSpaceDE w:val="0"/>
        <w:autoSpaceDN w:val="0"/>
        <w:adjustRightInd w:val="0"/>
      </w:pPr>
    </w:p>
    <w:p>
      <w:pPr>
        <w:autoSpaceDE w:val="0"/>
        <w:autoSpaceDN w:val="0"/>
        <w:adjustRightInd w:val="0"/>
      </w:pPr>
    </w:p>
    <w:p>
      <w:pPr>
        <w:autoSpaceDE w:val="0"/>
        <w:autoSpaceDN w:val="0"/>
        <w:adjustRightInd w:val="0"/>
      </w:pPr>
    </w:p>
    <w:p>
      <w:pPr>
        <w:autoSpaceDE w:val="0"/>
        <w:autoSpaceDN w:val="0"/>
        <w:adjustRightInd w:val="0"/>
      </w:pPr>
    </w:p>
    <w:p>
      <w:pPr>
        <w:autoSpaceDE w:val="0"/>
        <w:autoSpaceDN w:val="0"/>
        <w:adjustRightInd w:val="0"/>
      </w:pPr>
    </w:p>
    <w:p>
      <w:pPr>
        <w:autoSpaceDE w:val="0"/>
        <w:autoSpaceDN w:val="0"/>
        <w:adjustRightInd w:val="0"/>
      </w:pPr>
      <w:r>
        <w:t>I affirm that this assignment is my own work, that it has not been previously submitted for assessment, that all material which is quoted is accurately indicated as such, and that I have acknowledged all sources used fully and accurately according to the requirements. I am fully aware that failure to comply with these requirements is a form of cheating and could result in resubmission, loss of marks, failure and/or disciplinary action.</w:t>
      </w:r>
    </w:p>
    <w:p>
      <w:pPr>
        <w:rPr>
          <w:rFonts w:ascii="宋体" w:hAnsi="宋体" w:cs="宋体"/>
          <w:kern w:val="0"/>
          <w:sz w:val="24"/>
        </w:rPr>
      </w:pPr>
    </w:p>
    <w:p>
      <w:pPr/>
    </w:p>
    <w:p>
      <w:pPr>
        <w:rPr>
          <w:rFonts w:hint="eastAsia" w:ascii="Arial" w:hAnsi="Arial" w:cs="Arial"/>
          <w:sz w:val="20"/>
          <w:szCs w:val="2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32"/>
          <w:szCs w:val="32"/>
          <w:lang w:val="en-US" w:eastAsia="zh-CN"/>
        </w:rPr>
      </w:pPr>
      <w:r>
        <w:rPr>
          <w:rFonts w:hint="eastAsia" w:ascii="Arial" w:hAnsi="Arial" w:cs="Arial"/>
          <w:sz w:val="32"/>
          <w:szCs w:val="32"/>
          <w:lang w:val="en-US" w:eastAsia="zh-CN"/>
        </w:rPr>
        <w:t>1.Introduction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22"/>
          <w:szCs w:val="22"/>
          <w:lang w:val="en-US" w:eastAsia="zh-CN"/>
        </w:rPr>
      </w:pPr>
      <w:r>
        <w:rPr>
          <w:rFonts w:hint="eastAsia" w:ascii="Arial" w:hAnsi="Arial" w:cs="Arial"/>
          <w:sz w:val="22"/>
          <w:szCs w:val="22"/>
          <w:lang w:val="en-US" w:eastAsia="zh-CN"/>
        </w:rPr>
        <w:t>Wong Lo Kat is a classic herbal tea brand in China. It was founded in the Daoguang Period of the Qing Dynasty (1828) by Wang Zebang, who is recognized as the ancestor of herbal tea. It is made of herbal plant materials and is known as the "King of herbal tea". Meanwhile, Wong Lo Kat Herbal Tea was certified as "the world's oldest herbal tea brand" by Guinness World Records. In the course of social development, Wong Lo Kee was gradually incorporated into GFC and became one of its beverage products. Since then, Wong Lo Kat has cooperated with JDB Group and occupied a very important position in the Chinese herbal tea market. But later, Wong Lao Kat and JDB fell out again. This paper will conduct SWOT analysis on WLK products and make personal market decisions.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2"/>
          <w:szCs w:val="2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2"/>
          <w:szCs w:val="2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32"/>
          <w:szCs w:val="32"/>
          <w:lang w:val="en-US" w:eastAsia="zh-CN"/>
        </w:rPr>
      </w:pPr>
      <w:r>
        <w:rPr>
          <w:rFonts w:hint="eastAsia" w:ascii="Arial" w:hAnsi="Arial" w:cs="Arial"/>
          <w:sz w:val="32"/>
          <w:szCs w:val="32"/>
          <w:lang w:val="en-US" w:eastAsia="zh-CN"/>
        </w:rPr>
        <w:t>2.SWOT Analysis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8"/>
          <w:szCs w:val="28"/>
          <w:lang w:val="en-US" w:eastAsia="zh-CN"/>
        </w:rPr>
      </w:pPr>
      <w:r>
        <w:rPr>
          <w:rFonts w:hint="eastAsia" w:ascii="Arial" w:hAnsi="Arial" w:cs="Arial"/>
          <w:sz w:val="28"/>
          <w:szCs w:val="28"/>
          <w:lang w:val="en-US" w:eastAsia="zh-CN"/>
        </w:rPr>
        <w:t>Strengths</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Arial" w:hAnsi="Arial" w:cs="Arial"/>
          <w:sz w:val="22"/>
          <w:szCs w:val="22"/>
          <w:lang w:val="en-US" w:eastAsia="zh-CN"/>
        </w:rPr>
      </w:pPr>
      <w:r>
        <w:rPr>
          <w:rFonts w:hint="default" w:ascii="Arial" w:hAnsi="Arial" w:cs="Arial"/>
          <w:sz w:val="22"/>
          <w:szCs w:val="22"/>
          <w:lang w:val="en-US" w:eastAsia="zh-CN"/>
        </w:rPr>
        <w:t>Wang Lao Ji dares to expand the marketing of its products</w:t>
      </w:r>
      <w:r>
        <w:rPr>
          <w:rFonts w:hint="eastAsia" w:ascii="Arial" w:hAnsi="Arial" w:cs="Arial"/>
          <w:sz w:val="22"/>
          <w:szCs w:val="22"/>
          <w:lang w:val="en-US" w:eastAsia="zh-CN"/>
        </w:rPr>
        <w:t xml:space="preserve">. </w:t>
      </w:r>
      <w:r>
        <w:rPr>
          <w:rFonts w:hint="default" w:ascii="Arial" w:hAnsi="Arial" w:cs="Arial"/>
          <w:sz w:val="22"/>
          <w:szCs w:val="22"/>
          <w:lang w:val="en-US" w:eastAsia="zh-CN"/>
        </w:rPr>
        <w:t xml:space="preserve">According to the "siphon law", whoever dares to spend money will get a relatively cost-effective marketing advantage. The latest news is that GPC first exclusively named Open Doors on CCTV 3, and then won the three grand finale shows of Hunan SATELLITE TV at the end of the year, including the New Year's Eve concert of stars, the Joy Party of the Lantern Festival and the Spring Festival Gala. It is rumored that the cost of GFC's tie-up with CCTV and Mango TV reached 500 million yuan.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Wong Lo Kat was able to gain more market autonomy after its past relationship with JDB broke down</w:t>
      </w:r>
      <w:r>
        <w:rPr>
          <w:rFonts w:hint="eastAsia" w:ascii="Arial" w:hAnsi="Arial" w:cs="Arial"/>
          <w:sz w:val="22"/>
          <w:szCs w:val="22"/>
          <w:lang w:val="en-US" w:eastAsia="zh-CN"/>
        </w:rPr>
        <w:t xml:space="preserve">. </w:t>
      </w:r>
      <w:r>
        <w:rPr>
          <w:rFonts w:hint="default" w:ascii="Arial" w:hAnsi="Arial" w:cs="Arial"/>
          <w:sz w:val="22"/>
          <w:szCs w:val="22"/>
          <w:lang w:val="en-US" w:eastAsia="zh-CN"/>
        </w:rPr>
        <w:t xml:space="preserve">The brand of Wong Lo Kat is owned by GFC. Since then, "JDB" is no longer "Wong Lo Kat", and the loss of the brand of its powerful competitor JDB is a heavy blow.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GFC (Wong Lo Kat Pharmaceutical Co., LTD.) is a state-owned enterprise with strong support from the government.</w:t>
      </w:r>
      <w:r>
        <w:rPr>
          <w:rFonts w:hint="eastAsia" w:ascii="Arial" w:hAnsi="Arial" w:cs="Arial"/>
          <w:sz w:val="22"/>
          <w:szCs w:val="22"/>
          <w:lang w:val="en-US" w:eastAsia="zh-CN"/>
        </w:rPr>
        <w:t xml:space="preserve"> It is guangzhou city belongs to the second largest enterprise group, therefore, in the development of WLK products has a capital advantage</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Wong Lo Kat is a Chinese time-honored national brand with a history of 1.8 million as a strong support for "authentic" fire prevention.</w:t>
      </w:r>
      <w:r>
        <w:rPr>
          <w:rFonts w:hint="eastAsia" w:ascii="Arial" w:hAnsi="Arial" w:cs="Arial"/>
          <w:sz w:val="22"/>
          <w:szCs w:val="22"/>
          <w:lang w:val="en-US" w:eastAsia="zh-CN"/>
        </w:rPr>
        <w:t xml:space="preserve"> Because a lot of people taste heavy when eating, so Wang Lao Ji can play a very good regulatory role</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 xml:space="preserve">With the concept of health preservation, Wang Lao Ji has become the main choice of consumers' daily life beverage with natural plants in line with modern people's pursuit of healthy life.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Weaknesses</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ascii="Arial" w:hAnsi="Arial" w:cs="Arial"/>
          <w:sz w:val="22"/>
          <w:szCs w:val="22"/>
          <w:lang w:val="en-US" w:eastAsia="zh-CN"/>
        </w:rPr>
      </w:pPr>
      <w:r>
        <w:rPr>
          <w:rFonts w:hint="default" w:ascii="Arial" w:hAnsi="Arial" w:cs="Arial"/>
          <w:sz w:val="22"/>
          <w:szCs w:val="22"/>
          <w:lang w:val="en-US" w:eastAsia="zh-CN"/>
        </w:rPr>
        <w:t xml:space="preserve">Wong Lo Kat is not qualified in the development and maintenance of sales channels, and is poor in local human resources. Compared with JDB, it has obvious disadvantages.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Compared with JDB, WLK has disadvantages in dealer management, market management, terminal management and other aspects. Due to JDB's deep business in the beverage industry, The manufacturer of Wong Lo Kat is mainly engaged in the pharmaceutical industry, so it has a certain disadvantage</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 xml:space="preserve">The sales staff of Wong Lo Kat do not have clear sales tasks and hard targets.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eastAsia" w:ascii="Arial" w:hAnsi="Arial" w:cs="Arial"/>
          <w:sz w:val="22"/>
          <w:szCs w:val="22"/>
          <w:lang w:val="en-US" w:eastAsia="zh-CN"/>
        </w:rPr>
        <w:t>A</w:t>
      </w:r>
      <w:r>
        <w:rPr>
          <w:rFonts w:hint="default" w:ascii="Arial" w:hAnsi="Arial" w:cs="Arial"/>
          <w:sz w:val="22"/>
          <w:szCs w:val="22"/>
          <w:lang w:val="en-US" w:eastAsia="zh-CN"/>
        </w:rPr>
        <w:t xml:space="preserve">fter wang ji trademark for the storm, wide medicine lack of systematic and comprehensive public relations activities to eliminate the concerns of consumers and the produce of consumer dissatisfaction with wide medicine, compassion and to treasure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eastAsia" w:ascii="Arial" w:hAnsi="Arial" w:cs="Arial"/>
          <w:sz w:val="22"/>
          <w:szCs w:val="22"/>
          <w:lang w:val="en-US" w:eastAsia="zh-CN"/>
        </w:rPr>
        <w:t>H</w:t>
      </w:r>
      <w:r>
        <w:rPr>
          <w:rFonts w:hint="default" w:ascii="Arial" w:hAnsi="Arial" w:cs="Arial"/>
          <w:sz w:val="22"/>
          <w:szCs w:val="22"/>
          <w:lang w:val="en-US" w:eastAsia="zh-CN"/>
        </w:rPr>
        <w:t>erbal tea between pharmaceutical, beverage, enterprise concept of publicity, product positioning is not clear, consumers will not be long-term use of drug, frequent purchases.</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Arial" w:hAnsi="Arial" w:cs="Arial"/>
          <w:sz w:val="22"/>
          <w:szCs w:val="22"/>
          <w:lang w:val="en-US" w:eastAsia="zh-CN"/>
        </w:rPr>
      </w:pPr>
      <w:r>
        <w:rPr>
          <w:rFonts w:hint="default" w:ascii="Arial" w:hAnsi="Arial" w:cs="Arial"/>
          <w:sz w:val="22"/>
          <w:szCs w:val="22"/>
          <w:lang w:val="en-US" w:eastAsia="zh-CN"/>
        </w:rPr>
        <w:t>The product form is too single, which makes it difficult to innovate in the herbal tea industry.</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Arial" w:hAnsi="Arial" w:cs="Arial"/>
          <w:sz w:val="28"/>
          <w:szCs w:val="28"/>
          <w:lang w:val="en-US" w:eastAsia="zh-CN"/>
        </w:rPr>
      </w:pPr>
      <w:r>
        <w:rPr>
          <w:rFonts w:hint="eastAsia" w:ascii="Arial" w:hAnsi="Arial" w:cs="Arial"/>
          <w:sz w:val="28"/>
          <w:szCs w:val="28"/>
          <w:lang w:val="en-US" w:eastAsia="zh-CN"/>
        </w:rPr>
        <w:t>Opportunities</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r>
        <w:rPr>
          <w:rFonts w:hint="default" w:ascii="Arial" w:hAnsi="Arial" w:cs="Arial"/>
          <w:sz w:val="22"/>
          <w:szCs w:val="22"/>
          <w:lang w:val="en-US" w:eastAsia="zh-CN"/>
        </w:rPr>
        <w:t xml:space="preserve">JDB's market is mainly in the southern provinces, which is very favorable to the vast northern market and the form of Wong Lo Kat. Wong Lo Kat stands firm in the northern market and then strives to seize the southern market.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r>
        <w:rPr>
          <w:rFonts w:hint="default" w:ascii="Arial" w:hAnsi="Arial" w:cs="Arial"/>
          <w:sz w:val="22"/>
          <w:szCs w:val="22"/>
          <w:lang w:val="en-US" w:eastAsia="zh-CN"/>
        </w:rPr>
        <w:t>GFC WLK has a strong influence. In order to build WLK, a national brand, into a global brand, we will openly solicit partners in accordance with market rules and welcome sincere partners from all over the world, including JDB, to cooperate with us. Learned, last week, one of the world's top 30, annual sales of up to $110 billion walgreens linyi alliance boots senior visiting wide medicine group, has expressed the cooperation intention "</w:t>
      </w:r>
      <w:r>
        <w:rPr>
          <w:rFonts w:hint="eastAsia" w:ascii="Arial" w:hAnsi="Arial" w:cs="Arial"/>
          <w:sz w:val="22"/>
          <w:szCs w:val="22"/>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r>
        <w:rPr>
          <w:rFonts w:hint="default" w:ascii="Arial" w:hAnsi="Arial" w:cs="Arial"/>
          <w:sz w:val="22"/>
          <w:szCs w:val="22"/>
          <w:lang w:val="en-US" w:eastAsia="zh-CN"/>
        </w:rPr>
        <w:t>Chinese consumers generally do not have high brand loyalty. The victory of trademark dispute can seize the consumer market of JDB</w:t>
      </w:r>
      <w:r>
        <w:rPr>
          <w:rFonts w:hint="eastAsia" w:ascii="Arial" w:hAnsi="Arial" w:cs="Arial"/>
          <w:sz w:val="22"/>
          <w:szCs w:val="2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r>
        <w:rPr>
          <w:rFonts w:hint="eastAsia" w:ascii="Arial" w:hAnsi="Arial" w:cs="Arial"/>
          <w:sz w:val="22"/>
          <w:szCs w:val="22"/>
          <w:lang w:val="en-US" w:eastAsia="zh-CN"/>
        </w:rPr>
        <w:t>Threats</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Arial" w:hAnsi="Arial" w:cs="Arial"/>
          <w:sz w:val="22"/>
          <w:szCs w:val="22"/>
          <w:lang w:val="en-US" w:eastAsia="zh-CN"/>
        </w:rPr>
      </w:pPr>
      <w:r>
        <w:rPr>
          <w:rFonts w:hint="eastAsia" w:ascii="Arial" w:hAnsi="Arial" w:cs="Arial"/>
          <w:sz w:val="22"/>
          <w:szCs w:val="22"/>
          <w:lang w:val="en-US" w:eastAsia="zh-CN"/>
        </w:rPr>
        <w:t>T</w:t>
      </w:r>
      <w:r>
        <w:rPr>
          <w:rFonts w:hint="default" w:ascii="Arial" w:hAnsi="Arial" w:cs="Arial"/>
          <w:sz w:val="22"/>
          <w:szCs w:val="22"/>
          <w:lang w:val="en-US" w:eastAsia="zh-CN"/>
        </w:rPr>
        <w:t xml:space="preserve">he market of the multinational beverage brands to consume and local beverage products homogeneity competition, mainly with much treasure, and it is, want to take a spoiler Deng Lao cool tea brand, and other drinks are also eyeing category, cannot effectively form </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Arial" w:hAnsi="Arial" w:cs="Arial"/>
          <w:sz w:val="22"/>
          <w:szCs w:val="22"/>
          <w:lang w:val="en-US" w:eastAsia="zh-CN"/>
        </w:rPr>
      </w:pPr>
      <w:r>
        <w:rPr>
          <w:rFonts w:hint="eastAsia" w:ascii="Arial" w:hAnsi="Arial" w:cs="Arial"/>
          <w:sz w:val="22"/>
          <w:szCs w:val="22"/>
          <w:lang w:val="en-US" w:eastAsia="zh-CN"/>
        </w:rPr>
        <w:t>After the dispute over the trademark of Wong Lo Kee, GFC lacked systematic and comprehensive public relations activities to eliminate consumers' concerns, which resulted in some consumers' dissatisfaction with GFC and sympathy for JDB</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Arial" w:hAnsi="Arial" w:cs="Arial"/>
          <w:sz w:val="22"/>
          <w:szCs w:val="22"/>
          <w:lang w:val="en-US" w:eastAsia="zh-CN"/>
        </w:rPr>
      </w:pPr>
      <w:r>
        <w:rPr>
          <w:rFonts w:hint="default" w:ascii="Arial" w:hAnsi="Arial" w:cs="Arial"/>
          <w:sz w:val="22"/>
          <w:szCs w:val="22"/>
          <w:lang w:val="en-US" w:eastAsia="zh-CN"/>
        </w:rPr>
        <w:t>(3) With the return of The Wong Lo Kat brand, GFC began to expand its production capacity, but it had no experience in producing large-scale herbal tea before, and the product quality was tested by problems</w:t>
      </w:r>
      <w:r>
        <w:rPr>
          <w:rFonts w:hint="eastAsia" w:ascii="Arial" w:hAnsi="Arial" w:cs="Arial"/>
          <w:sz w:val="22"/>
          <w:szCs w:val="2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Arial" w:hAnsi="Arial" w:cs="Arial"/>
          <w:sz w:val="32"/>
          <w:szCs w:val="32"/>
          <w:lang w:val="en-US" w:eastAsia="zh-CN"/>
        </w:rPr>
      </w:pPr>
      <w:r>
        <w:rPr>
          <w:rFonts w:hint="eastAsia" w:ascii="Arial" w:hAnsi="Arial" w:cs="Arial"/>
          <w:sz w:val="32"/>
          <w:szCs w:val="32"/>
          <w:lang w:val="en-US" w:eastAsia="zh-CN"/>
        </w:rPr>
        <w:t>3.</w:t>
      </w:r>
      <w:r>
        <w:rPr>
          <w:rFonts w:hint="default" w:ascii="Arial" w:hAnsi="Arial" w:cs="Arial"/>
          <w:sz w:val="32"/>
          <w:szCs w:val="32"/>
          <w:lang w:val="en-US" w:eastAsia="zh-CN"/>
        </w:rPr>
        <w:t xml:space="preserve"> Market strategy</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3.1 Strong resistance to JDB in brand promotion.</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r>
        <w:rPr>
          <w:rFonts w:hint="eastAsia" w:ascii="Arial" w:hAnsi="Arial" w:cs="Arial"/>
          <w:sz w:val="22"/>
          <w:szCs w:val="22"/>
          <w:lang w:val="en-US" w:eastAsia="zh-CN"/>
        </w:rPr>
        <w:t>GFC should reserve or raise a fund for brand promotion. The specific approach is to launch a brand publicity war on CCTV, major portal websites and other mainstream media, lasting for about a year, and form a powerful confrontation with the current strong offensive of JDB. The brave will win when there is a narrow encounter. Moreover, As the originator of herbal tea, Wang Laoji has a natural advantage in the minds of consumers, and it is very easy to consolidate its position as the leader in all corners of the country.</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3.2 Dealers and agents of JDB will be wooed</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r>
        <w:rPr>
          <w:rFonts w:hint="eastAsia" w:ascii="Arial" w:hAnsi="Arial" w:cs="Arial"/>
          <w:sz w:val="22"/>
          <w:szCs w:val="22"/>
          <w:lang w:val="en-US" w:eastAsia="zh-CN"/>
        </w:rPr>
        <w:t>WLK's advantage is in the brand, JDB's advantage is in the channel. It can be said that the two sides should be evenly matched, each with its own strengths. However, in China, especially as a fast-moving consumer product, herbal tea must rely on strong channels to sell its products to the streets across the country and then to ordinary people's homes. Wong Lo Kat with the huge advantages of the brand, if supplemented by strong media thunder, and then JDB around the original agents or dealers to turn and win, relatively much easier. For example, through more discounts, more policy support, signing exclusive agreements with agents and so on. Wong Lo Kat carries the brand self-respect and commands consumers, so all channel merchants have to consider the preferences of end consumers for the brand of Wong Lo Kat, and will be willing to cooperate with Wong Lo Kat in depth.</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3.3 Attract and consolidate existing loyal users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Arial" w:hAnsi="Arial" w:cs="Arial"/>
          <w:sz w:val="22"/>
          <w:szCs w:val="22"/>
          <w:lang w:val="en-US" w:eastAsia="zh-CN"/>
        </w:rPr>
      </w:pPr>
      <w:r>
        <w:rPr>
          <w:rFonts w:hint="default" w:ascii="Arial" w:hAnsi="Arial" w:cs="Arial"/>
          <w:sz w:val="22"/>
          <w:szCs w:val="22"/>
          <w:lang w:val="en-US" w:eastAsia="zh-CN"/>
        </w:rPr>
        <w:t>In addition to promoting channels, but also to the final consumer pull attack. The ultimate purpose of all the work that Wong Lo Kat needs to do at present is undoubtedly to stabilize the existing consumers of wong Lo Kat brand. As for how to attract or lock consumers, in fact, there are many skills, methods and methods are very flexible. For example, open the lid raffle; Buy a certain amount of Wong Lo Kat, send exquisite creative small gifts; Every time consumers buy a bottle, the company promises to donate 5 cents to the disaster area and so on. At the same time, necessary public relations activities can be taken online and offline to further deepen and consolidate wong Lo Kat's inherent good brand image.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Arial" w:hAnsi="Arial" w:cs="Arial"/>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3.4 Eliminate the negative psychology of the public</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r>
        <w:rPr>
          <w:rFonts w:hint="eastAsia" w:ascii="Arial" w:hAnsi="Arial" w:cs="Arial"/>
          <w:sz w:val="22"/>
          <w:szCs w:val="22"/>
          <w:lang w:val="en-US" w:eastAsia="zh-CN"/>
        </w:rPr>
        <w:t>After the dispute over the trademark of Wong Lo Kee, GFC actually needs to carry out a systematic and comprehensive public relations campaign to eliminate consumers' concerns and establish a good corporate citizen image. In order to make consumers accept the new Wong Lo Kat in their hearts, KGM still has a hard road to go. The public relations activities of WLK should reflect GFC's great attention and care to WLK, a national brand. Consumers on the brand of Wong Lo Kat, there are feelings, even deep feelings. Sticking to emotion is Wong's best bet for quickly reversing moral hazard.</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Arial" w:hAnsi="Arial" w:cs="Arial"/>
          <w:sz w:val="28"/>
          <w:szCs w:val="28"/>
          <w:lang w:val="en-US" w:eastAsia="zh-CN"/>
        </w:rPr>
      </w:pPr>
      <w:r>
        <w:rPr>
          <w:rFonts w:hint="eastAsia" w:ascii="Arial" w:hAnsi="Arial" w:cs="Arial"/>
          <w:sz w:val="28"/>
          <w:szCs w:val="28"/>
          <w:lang w:val="en-US" w:eastAsia="zh-CN"/>
        </w:rPr>
        <w:t>3.5 increase the layout of production lineand production capacity.</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Arial" w:hAnsi="Arial" w:cs="Arial"/>
          <w:sz w:val="22"/>
          <w:szCs w:val="22"/>
          <w:lang w:val="en-US" w:eastAsia="zh-CN"/>
        </w:rPr>
      </w:pPr>
      <w:r>
        <w:rPr>
          <w:rFonts w:hint="default" w:ascii="Arial" w:hAnsi="Arial" w:cs="Arial"/>
          <w:sz w:val="22"/>
          <w:szCs w:val="22"/>
          <w:lang w:val="en-US" w:eastAsia="zh-CN"/>
        </w:rPr>
        <w:t>Once the above work in place, the sales of new Wong Lo Kat is bound to soar. This requires wong Lo Kat's production capacity to adapt to this growth. There is no doubt that the production capacity of "green" Wong Lo Kat before GFC is far from meeting the requirements of the new form. The increase in production capacity actually involves too much investment in hardware and software, as well as management software, which takes time. Therefore, must plan in advance, scientific layout.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Arial" w:hAnsi="Arial" w:cs="Arial"/>
          <w:sz w:val="22"/>
          <w:szCs w:val="22"/>
          <w:lang w:val="en-US" w:eastAsia="zh-CN"/>
        </w:rPr>
      </w:pP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eastAsia" w:ascii="Arial" w:hAnsi="Arial" w:cs="Arial"/>
          <w:sz w:val="32"/>
          <w:szCs w:val="32"/>
          <w:lang w:val="en-US" w:eastAsia="zh-CN"/>
        </w:rPr>
      </w:pPr>
      <w:r>
        <w:rPr>
          <w:rFonts w:hint="eastAsia" w:ascii="Arial" w:hAnsi="Arial" w:cs="Arial"/>
          <w:sz w:val="32"/>
          <w:szCs w:val="32"/>
          <w:lang w:val="en-US" w:eastAsia="zh-CN"/>
        </w:rPr>
        <w:t>Conclusion</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Arial" w:hAnsi="Arial" w:cs="Arial"/>
          <w:sz w:val="22"/>
          <w:szCs w:val="22"/>
          <w:lang w:val="en-US" w:eastAsia="zh-CN"/>
        </w:rPr>
      </w:pPr>
      <w:r>
        <w:rPr>
          <w:rFonts w:hint="eastAsia" w:ascii="Arial" w:hAnsi="Arial" w:cs="Arial"/>
          <w:sz w:val="22"/>
          <w:szCs w:val="22"/>
          <w:lang w:val="en-US" w:eastAsia="zh-CN"/>
        </w:rPr>
        <w:t>After the dispute between Wong Lo Kat and JDB, it is an opportunity for wong Lo Kat to develop again. Meanwhile, it also brings a lot of development pressure. WLK enjoys a high position in the herbal tea market and has a deep accumulation in product history. However, because manufacturers have disadvantages in marketing and other aspects, they need better development programs and market planning to gain a firm foothold in the future</w:t>
      </w:r>
    </w:p>
    <w:p>
      <w:pPr>
        <w:numPr>
          <w:ilvl w:val="0"/>
          <w:numId w:val="0"/>
        </w:numPr>
        <w:rPr>
          <w:rFonts w:hint="default" w:ascii="Arial" w:hAnsi="Arial" w:cs="Arial"/>
          <w:sz w:val="22"/>
          <w:szCs w:val="22"/>
          <w:lang w:val="en-US" w:eastAsia="zh-CN"/>
        </w:rPr>
      </w:pPr>
    </w:p>
    <w:p>
      <w:pPr>
        <w:numPr>
          <w:ilvl w:val="0"/>
          <w:numId w:val="0"/>
        </w:numPr>
        <w:ind w:leftChars="0"/>
        <w:rPr>
          <w:rFonts w:hint="eastAsia" w:ascii="Arial" w:hAnsi="Arial" w:cs="Arial"/>
          <w:sz w:val="22"/>
          <w:szCs w:val="22"/>
          <w:lang w:val="en-US" w:eastAsia="zh-CN"/>
        </w:rPr>
      </w:pPr>
    </w:p>
    <w:p>
      <w:pPr>
        <w:numPr>
          <w:ilvl w:val="0"/>
          <w:numId w:val="0"/>
        </w:numPr>
        <w:ind w:leftChars="0"/>
        <w:rPr>
          <w:rFonts w:hint="eastAsia" w:ascii="Arial" w:hAnsi="Arial" w:cs="Arial"/>
          <w:sz w:val="22"/>
          <w:szCs w:val="22"/>
          <w:lang w:val="en-US" w:eastAsia="zh-CN"/>
        </w:rPr>
      </w:pPr>
      <w:r>
        <w:rPr>
          <w:rFonts w:hint="eastAsia" w:ascii="Arial" w:hAnsi="Arial" w:cs="Arial"/>
          <w:sz w:val="22"/>
          <w:szCs w:val="22"/>
          <w:lang w:val="en-US" w:eastAsia="zh-CN"/>
        </w:rPr>
        <w:t xml:space="preserve"> </w:t>
      </w:r>
    </w:p>
    <w:p>
      <w:pPr>
        <w:numPr>
          <w:ilvl w:val="0"/>
          <w:numId w:val="0"/>
        </w:numPr>
        <w:ind w:leftChars="0"/>
        <w:rPr>
          <w:rFonts w:hint="default" w:ascii="Arial" w:hAnsi="Arial" w:cs="Arial"/>
          <w:sz w:val="28"/>
          <w:szCs w:val="28"/>
          <w:lang w:val="en-US" w:eastAsia="zh-CN"/>
        </w:rPr>
      </w:pPr>
    </w:p>
    <w:p>
      <w:pPr>
        <w:numPr>
          <w:ilvl w:val="0"/>
          <w:numId w:val="0"/>
        </w:numPr>
        <w:ind w:leftChars="0"/>
        <w:rPr>
          <w:rFonts w:hint="eastAsia" w:ascii="Arial" w:hAnsi="Arial" w:cs="Arial"/>
          <w:sz w:val="20"/>
          <w:szCs w:val="20"/>
          <w:lang w:val="en-US" w:eastAsia="zh-CN"/>
        </w:rPr>
      </w:pPr>
    </w:p>
    <w:p>
      <w:pPr>
        <w:numPr>
          <w:ilvl w:val="0"/>
          <w:numId w:val="0"/>
        </w:numPr>
        <w:ind w:leftChars="0"/>
        <w:rPr>
          <w:rFonts w:hint="eastAsia" w:ascii="Arial" w:hAnsi="Arial" w:cs="Arial"/>
          <w:sz w:val="20"/>
          <w:szCs w:val="20"/>
          <w:lang w:val="en-US" w:eastAsia="zh-CN"/>
        </w:rPr>
      </w:pPr>
      <w:r>
        <w:rPr>
          <w:rFonts w:hint="eastAsia" w:ascii="Arial" w:hAnsi="Arial" w:cs="Arial"/>
          <w:sz w:val="20"/>
          <w:szCs w:val="20"/>
          <w:lang w:val="en-US" w:eastAsia="zh-CN"/>
        </w:rPr>
        <w:t xml:space="preserve"> </w:t>
      </w:r>
    </w:p>
    <w:p>
      <w:pPr>
        <w:numPr>
          <w:ilvl w:val="0"/>
          <w:numId w:val="0"/>
        </w:numPr>
        <w:ind w:leftChars="0"/>
        <w:rPr>
          <w:rFonts w:hint="default" w:ascii="Arial" w:hAnsi="Arial" w:cs="Arial"/>
          <w:sz w:val="20"/>
          <w:szCs w:val="20"/>
          <w:lang w:val="en-US" w:eastAsia="zh-CN"/>
        </w:rPr>
      </w:pPr>
    </w:p>
    <w:p>
      <w:pPr>
        <w:numPr>
          <w:ilvl w:val="0"/>
          <w:numId w:val="0"/>
        </w:numPr>
        <w:ind w:leftChars="0"/>
        <w:rPr>
          <w:rFonts w:hint="default" w:ascii="Arial" w:hAnsi="Arial" w:cs="Arial"/>
          <w:sz w:val="20"/>
          <w:szCs w:val="20"/>
          <w:lang w:val="en-US" w:eastAsia="zh-CN"/>
        </w:rPr>
      </w:pPr>
    </w:p>
    <w:p>
      <w:pPr>
        <w:numPr>
          <w:ilvl w:val="0"/>
          <w:numId w:val="0"/>
        </w:numPr>
        <w:ind w:leftChars="0"/>
        <w:rPr>
          <w:rFonts w:hint="default" w:ascii="Arial" w:hAnsi="Arial" w:cs="Arial"/>
          <w:sz w:val="20"/>
          <w:szCs w:val="20"/>
          <w:lang w:val="en-US" w:eastAsia="zh-CN"/>
        </w:rPr>
      </w:pPr>
      <w:r>
        <w:rPr>
          <w:rFonts w:hint="default" w:ascii="Arial" w:hAnsi="Arial" w:cs="Arial"/>
          <w:sz w:val="20"/>
          <w:szCs w:val="20"/>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rial Black">
    <w:panose1 w:val="020B0A04020102020204"/>
    <w:charset w:val="00"/>
    <w:family w:val="swiss"/>
    <w:pitch w:val="default"/>
    <w:sig w:usb0="00000000" w:usb1="00000000" w:usb2="00000000" w:usb3="00000000" w:csb0="6000009F" w:csb1="DFD70000"/>
  </w:font>
  <w:font w:name="Tahoma">
    <w:panose1 w:val="020B0604030504040204"/>
    <w:charset w:val="00"/>
    <w:family w:val="auto"/>
    <w:pitch w:val="default"/>
    <w:sig w:usb0="00000000" w:usb1="00000000" w:usb2="00000029" w:usb3="00000000" w:csb0="200101FF" w:csb1="20280000"/>
  </w:font>
  <w:font w:name="微软雅黑">
    <w:panose1 w:val="020B0503020204020204"/>
    <w:charset w:val="86"/>
    <w:family w:val="auto"/>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7CC9C1"/>
    <w:multiLevelType w:val="singleLevel"/>
    <w:tmpl w:val="C07CC9C1"/>
    <w:lvl w:ilvl="0" w:tentative="0">
      <w:start w:val="4"/>
      <w:numFmt w:val="decimal"/>
      <w:lvlText w:val="%1."/>
      <w:lvlJc w:val="left"/>
      <w:pPr>
        <w:tabs>
          <w:tab w:val="left" w:pos="312"/>
        </w:tabs>
      </w:pPr>
    </w:lvl>
  </w:abstractNum>
  <w:abstractNum w:abstractNumId="1">
    <w:nsid w:val="CDC9BECB"/>
    <w:multiLevelType w:val="singleLevel"/>
    <w:tmpl w:val="CDC9BECB"/>
    <w:lvl w:ilvl="0" w:tentative="0">
      <w:start w:val="1"/>
      <w:numFmt w:val="decimal"/>
      <w:suff w:val="space"/>
      <w:lvlText w:val="(%1)"/>
      <w:lvlJc w:val="left"/>
    </w:lvl>
  </w:abstractNum>
  <w:abstractNum w:abstractNumId="2">
    <w:nsid w:val="1011C878"/>
    <w:multiLevelType w:val="singleLevel"/>
    <w:tmpl w:val="1011C878"/>
    <w:lvl w:ilvl="0" w:tentative="0">
      <w:start w:val="1"/>
      <w:numFmt w:val="decimal"/>
      <w:suff w:val="space"/>
      <w:lvlText w:val="(%1)"/>
      <w:lvlJc w:val="left"/>
    </w:lvl>
  </w:abstractNum>
  <w:abstractNum w:abstractNumId="3">
    <w:nsid w:val="30241DF1"/>
    <w:multiLevelType w:val="singleLevel"/>
    <w:tmpl w:val="30241DF1"/>
    <w:lvl w:ilvl="0" w:tentative="0">
      <w:start w:val="1"/>
      <w:numFmt w:val="decimal"/>
      <w:suff w:val="space"/>
      <w:lvlText w:val="(%1)"/>
      <w:lvlJc w:val="left"/>
    </w:lvl>
  </w:abstractNum>
  <w:abstractNum w:abstractNumId="4">
    <w:nsid w:val="3DFA3CF8"/>
    <w:multiLevelType w:val="singleLevel"/>
    <w:tmpl w:val="3DFA3CF8"/>
    <w:lvl w:ilvl="0" w:tentative="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1815</Words>
  <Characters>9001</Characters>
  <Lines>0</Lines>
  <Paragraphs>0</Paragraphs>
  <ScaleCrop>false</ScaleCrop>
  <LinksUpToDate>false</LinksUpToDate>
  <CharactersWithSpaces>10927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2022-06-07T20:55:00Z</dcterms:created>
  <dc:creator>大毛kuma</dc:creator>
  <cp:lastModifiedBy>003</cp:lastModifiedBy>
  <dcterms:modified xsi:type="dcterms:W3CDTF">2022-12-27T18:19:39Z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2052-11.33.0</vt:lpwstr>
  </property>
  <property fmtid="{D5CDD505-2E9C-101B-9397-08002B2CF9AE}" pid="3" name="ICV">
    <vt:lpwstr>CF6F396C30B941E1BC98AE4579A33060</vt:lpwstr>
  </property>
</Properties>
</file>