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073B4">
      <w:pPr>
        <w:rPr>
          <w:rFonts w:ascii="Arial" w:hAnsi="Arial" w:cs="Arial"/>
          <w:b/>
          <w:bCs/>
          <w:sz w:val="44"/>
          <w:szCs w:val="44"/>
        </w:rPr>
      </w:pPr>
    </w:p>
    <w:p w14:paraId="77124D2A">
      <w:pPr>
        <w:rPr>
          <w:rFonts w:ascii="Arial" w:hAnsi="Arial" w:cs="Arial"/>
          <w:b/>
          <w:bCs/>
          <w:sz w:val="44"/>
          <w:szCs w:val="44"/>
        </w:rPr>
      </w:pPr>
    </w:p>
    <w:p w14:paraId="42B38671">
      <w:pPr>
        <w:rPr>
          <w:rFonts w:ascii="Arial" w:hAnsi="Arial" w:cs="Arial"/>
          <w:b/>
          <w:bCs/>
          <w:sz w:val="44"/>
          <w:szCs w:val="44"/>
        </w:rPr>
      </w:pPr>
    </w:p>
    <w:p w14:paraId="452DE802">
      <w:pPr>
        <w:rPr>
          <w:rFonts w:ascii="Arial" w:hAnsi="Arial" w:cs="Arial"/>
          <w:b/>
          <w:bCs/>
          <w:sz w:val="44"/>
          <w:szCs w:val="44"/>
        </w:rPr>
      </w:pPr>
    </w:p>
    <w:p w14:paraId="114A5F2B">
      <w:pPr>
        <w:jc w:val="center"/>
        <w:rPr>
          <w:rFonts w:ascii="Arial" w:hAnsi="Arial" w:cs="Arial"/>
          <w:b/>
          <w:bCs/>
          <w:sz w:val="22"/>
        </w:rPr>
      </w:pPr>
      <w:r>
        <w:rPr>
          <w:rFonts w:ascii="Arial" w:hAnsi="Arial" w:cs="Arial"/>
          <w:b/>
          <w:bCs/>
          <w:sz w:val="22"/>
        </w:rPr>
        <w:t>Evaluating Information Sources for Fraud Prevention Strategies: A Comparative Analysis</w:t>
      </w:r>
    </w:p>
    <w:p w14:paraId="62F69EE4">
      <w:pPr>
        <w:jc w:val="center"/>
        <w:rPr>
          <w:rFonts w:ascii="Arial" w:hAnsi="Arial" w:cs="Arial"/>
          <w:sz w:val="40"/>
          <w:szCs w:val="40"/>
        </w:rPr>
      </w:pPr>
    </w:p>
    <w:p w14:paraId="5EF3A3AF">
      <w:pPr>
        <w:jc w:val="center"/>
        <w:rPr>
          <w:rFonts w:ascii="Arial" w:hAnsi="Arial" w:cs="Arial"/>
          <w:sz w:val="22"/>
        </w:rPr>
      </w:pPr>
      <w:r>
        <w:rPr>
          <w:rFonts w:hint="eastAsia" w:ascii="Arial" w:hAnsi="Arial" w:cs="Arial"/>
          <w:sz w:val="22"/>
        </w:rPr>
        <w:t>Shanghai University</w:t>
      </w:r>
    </w:p>
    <w:p w14:paraId="590C6F05">
      <w:pPr>
        <w:jc w:val="center"/>
        <w:rPr>
          <w:rFonts w:ascii="Arial" w:hAnsi="Arial" w:cs="Arial"/>
          <w:sz w:val="22"/>
        </w:rPr>
      </w:pPr>
      <w:r>
        <w:rPr>
          <w:rFonts w:ascii="Arial" w:hAnsi="Arial" w:cs="Arial"/>
          <w:sz w:val="22"/>
        </w:rPr>
        <w:t>Academic and Business Communication</w:t>
      </w:r>
      <w:r>
        <w:rPr>
          <w:rFonts w:hint="eastAsia" w:ascii="Arial" w:hAnsi="Arial" w:cs="Arial"/>
          <w:sz w:val="22"/>
        </w:rPr>
        <w:t xml:space="preserve"> D2</w:t>
      </w:r>
    </w:p>
    <w:p w14:paraId="42CCD0E8">
      <w:pPr>
        <w:jc w:val="center"/>
        <w:rPr>
          <w:rFonts w:ascii="Arial" w:hAnsi="Arial" w:cs="Arial"/>
          <w:sz w:val="22"/>
        </w:rPr>
      </w:pPr>
      <w:r>
        <w:rPr>
          <w:rFonts w:hint="eastAsia" w:ascii="Arial" w:hAnsi="Arial" w:cs="Arial"/>
          <w:sz w:val="22"/>
        </w:rPr>
        <w:t>Yuliya</w:t>
      </w:r>
    </w:p>
    <w:p w14:paraId="27F5F722">
      <w:pPr>
        <w:jc w:val="center"/>
        <w:rPr>
          <w:rFonts w:ascii="Arial" w:hAnsi="Arial" w:cs="Arial"/>
          <w:sz w:val="22"/>
        </w:rPr>
      </w:pPr>
      <w:r>
        <w:rPr>
          <w:rFonts w:ascii="Arial" w:hAnsi="Arial" w:cs="Arial"/>
          <w:sz w:val="22"/>
        </w:rPr>
        <w:t>December 10, 2025</w:t>
      </w:r>
      <w:bookmarkStart w:id="3" w:name="_GoBack"/>
      <w:bookmarkEnd w:id="3"/>
    </w:p>
    <w:p w14:paraId="01B9F4D8">
      <w:pPr>
        <w:widowControl/>
        <w:jc w:val="left"/>
      </w:pPr>
      <w:r>
        <w:br w:type="page"/>
      </w:r>
    </w:p>
    <w:p w14:paraId="47FD9FD5">
      <w:pPr>
        <w:spacing w:line="480" w:lineRule="auto"/>
        <w:jc w:val="center"/>
        <w:rPr>
          <w:rFonts w:ascii="Arial" w:hAnsi="Arial" w:cs="Arial"/>
          <w:b/>
          <w:bCs/>
          <w:sz w:val="22"/>
        </w:rPr>
      </w:pPr>
      <w:r>
        <w:rPr>
          <w:rFonts w:ascii="Arial" w:hAnsi="Arial" w:cs="Arial"/>
          <w:b/>
          <w:bCs/>
          <w:sz w:val="22"/>
        </w:rPr>
        <w:t>Evaluating Information Sources for Fraud Prevention Strategies: A Comparative Analysis</w:t>
      </w:r>
    </w:p>
    <w:p w14:paraId="3BAE11B8">
      <w:pPr>
        <w:spacing w:line="480" w:lineRule="auto"/>
        <w:rPr>
          <w:rFonts w:hint="eastAsia" w:ascii="Arial" w:hAnsi="Arial" w:cs="Arial"/>
          <w:sz w:val="22"/>
        </w:rPr>
      </w:pPr>
      <w:r>
        <w:rPr>
          <w:rFonts w:ascii="Arial" w:hAnsi="Arial" w:cs="Arial"/>
          <w:sz w:val="22"/>
        </w:rPr>
        <w:tab/>
      </w:r>
      <w:r>
        <w:rPr>
          <w:rFonts w:ascii="Arial" w:hAnsi="Arial" w:cs="Arial"/>
          <w:sz w:val="22"/>
        </w:rPr>
        <w:t>Responding to a request from CEO Mr. David Lee, this essay evaluates two key sources to ensure his presentation at the “Fraud Prevention in Business” international conference is backed by the most insightful research. Guided by the question “What strategies could have prevented the fraud committed by Elizabeth Holmes at Theranos?”, the essay presents a comparative evaluation of Hayne (2022) and Roff (2024) based on the CRAAP criteria of Relevance, Authority, and Purpose. The analysis argues that while Hayne (2022) presents an accurate legal record, Roff (2024) constitutes the superior source for answering the research question by exploring systemic cultural causes. This critical insight yields the necessary evidence to formulate forward-looking strategies. To validate this choice, the essay outlines a comprehensive justification, responds to opposing views regarding authority, and consolidates these findings into a final conclusion.</w:t>
      </w:r>
    </w:p>
    <w:p w14:paraId="6A577507">
      <w:pPr>
        <w:spacing w:line="480" w:lineRule="auto"/>
        <w:jc w:val="center"/>
        <w:rPr>
          <w:rFonts w:ascii="Arial" w:hAnsi="Arial" w:cs="Arial"/>
          <w:b/>
          <w:bCs/>
          <w:sz w:val="22"/>
        </w:rPr>
      </w:pPr>
      <w:r>
        <w:rPr>
          <w:rFonts w:hint="eastAsia" w:ascii="Arial" w:hAnsi="Arial" w:cs="Arial"/>
          <w:b/>
          <w:bCs/>
          <w:sz w:val="22"/>
        </w:rPr>
        <w:t>Summary</w:t>
      </w:r>
    </w:p>
    <w:p w14:paraId="398AD5A4">
      <w:pPr>
        <w:spacing w:line="480" w:lineRule="auto"/>
        <w:ind w:firstLine="420"/>
        <w:rPr>
          <w:rFonts w:ascii="Arial" w:hAnsi="Arial" w:cs="Arial"/>
          <w:sz w:val="22"/>
        </w:rPr>
      </w:pPr>
      <w:r>
        <w:rPr>
          <w:rFonts w:ascii="Arial" w:hAnsi="Arial" w:cs="Arial"/>
          <w:sz w:val="22"/>
        </w:rPr>
        <w:t xml:space="preserve">Hayne (2022), writing for ABC News, details the </w:t>
      </w:r>
      <w:r>
        <w:rPr>
          <w:rFonts w:hint="eastAsia" w:ascii="Arial" w:hAnsi="Arial" w:cs="Arial"/>
          <w:sz w:val="22"/>
        </w:rPr>
        <w:t xml:space="preserve">final stage </w:t>
      </w:r>
      <w:r>
        <w:rPr>
          <w:rFonts w:ascii="Arial" w:hAnsi="Arial" w:cs="Arial"/>
          <w:sz w:val="22"/>
        </w:rPr>
        <w:t xml:space="preserve">of the criminal trial against Elizabeth Holmes. </w:t>
      </w:r>
      <w:r>
        <w:rPr>
          <w:rFonts w:hint="eastAsia" w:ascii="Arial" w:hAnsi="Arial" w:cs="Arial"/>
          <w:sz w:val="22"/>
        </w:rPr>
        <w:t xml:space="preserve">It </w:t>
      </w:r>
      <w:r>
        <w:rPr>
          <w:rFonts w:ascii="Arial" w:hAnsi="Arial" w:cs="Arial"/>
          <w:sz w:val="22"/>
        </w:rPr>
        <w:t>provides a procedural overview of the court case, outlining the jury's guilty verdict on four counts of fraud and the defense strategy, which involved shifting blame to former Chief Operating Officer Ramesh "Sunny" Balwani</w:t>
      </w:r>
      <w:r>
        <w:rPr>
          <w:rFonts w:hint="eastAsia" w:ascii="Arial" w:hAnsi="Arial" w:cs="Arial"/>
          <w:sz w:val="22"/>
        </w:rPr>
        <w:t xml:space="preserve"> (Hayne, 2022, para. 55)</w:t>
      </w:r>
      <w:r>
        <w:rPr>
          <w:rFonts w:ascii="Arial" w:hAnsi="Arial" w:cs="Arial"/>
          <w:sz w:val="22"/>
        </w:rPr>
        <w:t>.</w:t>
      </w:r>
      <w:r>
        <w:rPr>
          <w:rFonts w:hint="eastAsia" w:ascii="Arial" w:hAnsi="Arial" w:cs="Arial"/>
          <w:sz w:val="22"/>
        </w:rPr>
        <w:t xml:space="preserve"> It also</w:t>
      </w:r>
      <w:r>
        <w:rPr>
          <w:rFonts w:ascii="Arial" w:hAnsi="Arial" w:cs="Arial"/>
          <w:sz w:val="22"/>
        </w:rPr>
        <w:t xml:space="preserve"> </w:t>
      </w:r>
      <w:r>
        <w:rPr>
          <w:rFonts w:hint="eastAsia" w:ascii="Arial" w:hAnsi="Arial" w:cs="Arial"/>
          <w:sz w:val="22"/>
        </w:rPr>
        <w:t xml:space="preserve">briefly </w:t>
      </w:r>
      <w:r>
        <w:rPr>
          <w:rFonts w:ascii="Arial" w:hAnsi="Arial" w:cs="Arial"/>
          <w:sz w:val="22"/>
        </w:rPr>
        <w:t>summarizes the key evidence used by prosecutors to prove Holmes’s specific "</w:t>
      </w:r>
      <w:bookmarkStart w:id="0" w:name="OLE_LINK1"/>
      <w:r>
        <w:rPr>
          <w:rFonts w:ascii="Arial" w:hAnsi="Arial" w:cs="Arial"/>
          <w:sz w:val="22"/>
        </w:rPr>
        <w:t>intent to deceive</w:t>
      </w:r>
      <w:bookmarkEnd w:id="0"/>
      <w:r>
        <w:rPr>
          <w:rFonts w:ascii="Arial" w:hAnsi="Arial" w:cs="Arial"/>
          <w:sz w:val="22"/>
        </w:rPr>
        <w:t>" investors (Hayne, 2022, para.</w:t>
      </w:r>
      <w:r>
        <w:rPr>
          <w:rFonts w:hint="eastAsia" w:ascii="Arial" w:hAnsi="Arial" w:cs="Arial"/>
          <w:sz w:val="22"/>
        </w:rPr>
        <w:t xml:space="preserve"> 36</w:t>
      </w:r>
      <w:r>
        <w:rPr>
          <w:rFonts w:ascii="Arial" w:hAnsi="Arial" w:cs="Arial"/>
          <w:sz w:val="22"/>
        </w:rPr>
        <w:t>).</w:t>
      </w:r>
      <w:r>
        <w:rPr>
          <w:rFonts w:hint="eastAsia" w:ascii="Arial" w:hAnsi="Arial" w:cs="Arial"/>
          <w:sz w:val="22"/>
        </w:rPr>
        <w:t xml:space="preserve"> </w:t>
      </w:r>
      <w:r>
        <w:rPr>
          <w:rFonts w:ascii="Arial" w:hAnsi="Arial" w:cs="Arial"/>
          <w:sz w:val="22"/>
        </w:rPr>
        <w:t>In</w:t>
      </w:r>
      <w:r>
        <w:rPr>
          <w:rFonts w:hint="eastAsia" w:ascii="Arial" w:hAnsi="Arial" w:cs="Arial"/>
          <w:sz w:val="22"/>
        </w:rPr>
        <w:t xml:space="preserve"> </w:t>
      </w:r>
      <w:r>
        <w:rPr>
          <w:rFonts w:ascii="Arial" w:hAnsi="Arial" w:cs="Arial"/>
          <w:sz w:val="22"/>
        </w:rPr>
        <w:t xml:space="preserve">contrast, Roff (2024), published by Pan Macmillan, </w:t>
      </w:r>
      <w:r>
        <w:rPr>
          <w:rFonts w:hint="eastAsia" w:ascii="Arial" w:hAnsi="Arial" w:cs="Arial"/>
          <w:sz w:val="22"/>
        </w:rPr>
        <w:t xml:space="preserve">offers </w:t>
      </w:r>
      <w:r>
        <w:rPr>
          <w:rFonts w:ascii="Arial" w:hAnsi="Arial" w:cs="Arial"/>
          <w:sz w:val="22"/>
        </w:rPr>
        <w:t xml:space="preserve">a comprehensive retrospective </w:t>
      </w:r>
      <w:r>
        <w:rPr>
          <w:rFonts w:hint="eastAsia" w:ascii="Arial" w:hAnsi="Arial" w:cs="Arial"/>
          <w:sz w:val="22"/>
        </w:rPr>
        <w:t xml:space="preserve">on </w:t>
      </w:r>
      <w:r>
        <w:rPr>
          <w:rFonts w:ascii="Arial" w:hAnsi="Arial" w:cs="Arial"/>
          <w:sz w:val="22"/>
        </w:rPr>
        <w:t>the Theranos scandal.</w:t>
      </w:r>
      <w:r>
        <w:rPr>
          <w:rFonts w:hint="eastAsia" w:ascii="Arial" w:hAnsi="Arial" w:cs="Arial"/>
          <w:sz w:val="22"/>
        </w:rPr>
        <w:t xml:space="preserve"> Moreover</w:t>
      </w:r>
      <w:r>
        <w:rPr>
          <w:rFonts w:ascii="Arial" w:hAnsi="Arial" w:cs="Arial"/>
          <w:sz w:val="22"/>
        </w:rPr>
        <w:t xml:space="preserve">, </w:t>
      </w:r>
      <w:r>
        <w:rPr>
          <w:rFonts w:hint="eastAsia" w:ascii="Arial" w:hAnsi="Arial" w:cs="Arial"/>
          <w:sz w:val="22"/>
        </w:rPr>
        <w:t xml:space="preserve">it </w:t>
      </w:r>
      <w:r>
        <w:rPr>
          <w:rFonts w:ascii="Arial" w:hAnsi="Arial" w:cs="Arial"/>
          <w:sz w:val="22"/>
        </w:rPr>
        <w:t xml:space="preserve">traces the entire rise and fall of the company, </w:t>
      </w:r>
      <w:r>
        <w:rPr>
          <w:rFonts w:hint="eastAsia" w:ascii="Arial" w:hAnsi="Arial" w:cs="Arial"/>
          <w:sz w:val="22"/>
        </w:rPr>
        <w:t xml:space="preserve">explicitly </w:t>
      </w:r>
      <w:r>
        <w:rPr>
          <w:rFonts w:ascii="Arial" w:hAnsi="Arial" w:cs="Arial"/>
          <w:sz w:val="22"/>
        </w:rPr>
        <w:t xml:space="preserve">highlighting the pivotal role of </w:t>
      </w:r>
      <w:r>
        <w:rPr>
          <w:rFonts w:ascii="Arial" w:hAnsi="Arial" w:cs="Arial"/>
          <w:i/>
          <w:iCs/>
          <w:sz w:val="22"/>
        </w:rPr>
        <w:t>Wall Street Journal</w:t>
      </w:r>
      <w:r>
        <w:rPr>
          <w:rFonts w:ascii="Arial" w:hAnsi="Arial" w:cs="Arial"/>
          <w:sz w:val="22"/>
        </w:rPr>
        <w:t xml:space="preserve"> journalist John Carreyrou and key whistleblowers in exposing the fraud. </w:t>
      </w:r>
      <w:r>
        <w:rPr>
          <w:rFonts w:hint="eastAsia" w:ascii="Arial" w:hAnsi="Arial" w:cs="Arial"/>
          <w:sz w:val="22"/>
        </w:rPr>
        <w:t>Crucially, i</w:t>
      </w:r>
      <w:r>
        <w:rPr>
          <w:rFonts w:ascii="Arial" w:hAnsi="Arial" w:cs="Arial"/>
          <w:sz w:val="22"/>
        </w:rPr>
        <w:t xml:space="preserve">t synthesizes the internal cultural factors and systemic failures that allowed the deception to persist for nearly a decade, focusing on the </w:t>
      </w:r>
      <w:r>
        <w:rPr>
          <w:rFonts w:hint="eastAsia" w:ascii="Arial" w:hAnsi="Arial" w:cs="Arial"/>
          <w:sz w:val="22"/>
        </w:rPr>
        <w:t xml:space="preserve">implementation </w:t>
      </w:r>
      <w:r>
        <w:rPr>
          <w:rFonts w:ascii="Arial" w:hAnsi="Arial" w:cs="Arial"/>
          <w:sz w:val="22"/>
        </w:rPr>
        <w:t>of the deception rather than just the legal punishment.</w:t>
      </w:r>
    </w:p>
    <w:p w14:paraId="216F1C91">
      <w:pPr>
        <w:spacing w:line="480" w:lineRule="auto"/>
        <w:jc w:val="center"/>
        <w:rPr>
          <w:rFonts w:ascii="Arial" w:hAnsi="Arial" w:cs="Arial"/>
          <w:b/>
          <w:bCs/>
          <w:sz w:val="22"/>
        </w:rPr>
      </w:pPr>
      <w:r>
        <w:rPr>
          <w:rFonts w:ascii="Arial" w:hAnsi="Arial" w:cs="Arial"/>
          <w:b/>
          <w:bCs/>
          <w:sz w:val="22"/>
        </w:rPr>
        <w:t>Comparison</w:t>
      </w:r>
    </w:p>
    <w:p w14:paraId="24E1C764">
      <w:pPr>
        <w:spacing w:line="480" w:lineRule="auto"/>
        <w:ind w:firstLine="420"/>
        <w:rPr>
          <w:rFonts w:ascii="Arial" w:hAnsi="Arial" w:cs="Arial"/>
          <w:sz w:val="22"/>
        </w:rPr>
      </w:pPr>
      <w:r>
        <w:rPr>
          <w:rFonts w:ascii="Arial" w:hAnsi="Arial" w:cs="Arial"/>
          <w:sz w:val="22"/>
        </w:rPr>
        <w:t>A critical evaluation of Relevance, Purpose, and Authority reveals significant divergences in utility between the two sources. Hayne (2022) possesses a clear strength in Authority regarding legal facts,</w:t>
      </w:r>
      <w:r>
        <w:rPr>
          <w:rFonts w:hint="eastAsia" w:ascii="Arial" w:hAnsi="Arial" w:cs="Arial"/>
          <w:sz w:val="22"/>
        </w:rPr>
        <w:t xml:space="preserve"> by</w:t>
      </w:r>
      <w:r>
        <w:rPr>
          <w:rFonts w:ascii="Arial" w:hAnsi="Arial" w:cs="Arial"/>
          <w:sz w:val="22"/>
        </w:rPr>
        <w:t xml:space="preserve"> </w:t>
      </w:r>
      <w:r>
        <w:rPr>
          <w:rFonts w:hint="eastAsia" w:ascii="Arial" w:hAnsi="Arial" w:cs="Arial"/>
          <w:sz w:val="22"/>
        </w:rPr>
        <w:t>serving as</w:t>
      </w:r>
      <w:r>
        <w:rPr>
          <w:rFonts w:ascii="Arial" w:hAnsi="Arial" w:cs="Arial"/>
          <w:sz w:val="22"/>
        </w:rPr>
        <w:t xml:space="preserve"> an accurate record of the court's final</w:t>
      </w:r>
      <w:r>
        <w:rPr>
          <w:rFonts w:hint="eastAsia" w:ascii="Arial" w:hAnsi="Arial" w:cs="Arial"/>
          <w:sz w:val="22"/>
        </w:rPr>
        <w:t xml:space="preserve"> judgment</w:t>
      </w:r>
      <w:r>
        <w:rPr>
          <w:rFonts w:ascii="Arial" w:hAnsi="Arial" w:cs="Arial"/>
          <w:sz w:val="22"/>
        </w:rPr>
        <w:t>.</w:t>
      </w:r>
      <w:r>
        <w:rPr>
          <w:b/>
          <w:bCs/>
        </w:rPr>
        <w:t xml:space="preserve"> </w:t>
      </w:r>
      <w:r>
        <w:rPr>
          <w:rFonts w:ascii="Arial" w:hAnsi="Arial" w:cs="Arial"/>
          <w:sz w:val="22"/>
        </w:rPr>
        <w:t>However, the limitation is rooted in Purpose, which is to entertain a general audience with a dramatic narrative rather than to analyze business ethics. Driven by this</w:t>
      </w:r>
      <w:r>
        <w:rPr>
          <w:rFonts w:hint="eastAsia" w:ascii="Arial" w:hAnsi="Arial" w:cs="Arial"/>
          <w:sz w:val="22"/>
        </w:rPr>
        <w:t xml:space="preserve"> purpose</w:t>
      </w:r>
      <w:r>
        <w:rPr>
          <w:rFonts w:ascii="Arial" w:hAnsi="Arial" w:cs="Arial"/>
          <w:sz w:val="22"/>
        </w:rPr>
        <w:t>, the content prioritizes personal spectacle, highlighting details like Holmes’s “black turtlenecks” and private affirmations rather than governance failures (Hayne, 2022, para. 16). Consequently, despite being factually accurate, this focus creates a significant weakness in Relevance for a CEO seeking corporate prevention strategies.</w:t>
      </w:r>
      <w:r>
        <w:rPr>
          <w:rFonts w:hint="eastAsia" w:ascii="Arial" w:hAnsi="Arial" w:cs="Arial"/>
          <w:sz w:val="22"/>
        </w:rPr>
        <w:t xml:space="preserve"> B</w:t>
      </w:r>
      <w:r>
        <w:rPr>
          <w:rFonts w:ascii="Arial" w:hAnsi="Arial" w:cs="Arial"/>
          <w:sz w:val="22"/>
        </w:rPr>
        <w:t>y comparison, Roff (2024) presents a stronger profile when evaluated against these standards. Its primary strength lies in</w:t>
      </w:r>
      <w:r>
        <w:rPr>
          <w:rFonts w:hint="eastAsia" w:ascii="Arial" w:hAnsi="Arial" w:cs="Arial"/>
          <w:sz w:val="22"/>
        </w:rPr>
        <w:t xml:space="preserve"> Purpose</w:t>
      </w:r>
      <w:r>
        <w:rPr>
          <w:rFonts w:ascii="Arial" w:hAnsi="Arial" w:cs="Arial"/>
          <w:sz w:val="22"/>
        </w:rPr>
        <w:t xml:space="preserve">, </w:t>
      </w:r>
      <w:r>
        <w:rPr>
          <w:rFonts w:hint="eastAsia" w:ascii="Arial" w:hAnsi="Arial" w:cs="Arial"/>
          <w:sz w:val="22"/>
        </w:rPr>
        <w:t xml:space="preserve">as </w:t>
      </w:r>
      <w:r>
        <w:rPr>
          <w:rFonts w:ascii="Arial" w:hAnsi="Arial" w:cs="Arial"/>
          <w:sz w:val="22"/>
        </w:rPr>
        <w:t>this source aims to synthesize complex events into professional lessons to understand the fraud's</w:t>
      </w:r>
      <w:r>
        <w:rPr>
          <w:rFonts w:hint="eastAsia" w:ascii="Arial" w:hAnsi="Arial" w:cs="Arial"/>
          <w:sz w:val="22"/>
        </w:rPr>
        <w:t xml:space="preserve"> nature</w:t>
      </w:r>
      <w:r>
        <w:rPr>
          <w:rFonts w:ascii="Arial" w:hAnsi="Arial" w:cs="Arial"/>
          <w:sz w:val="22"/>
        </w:rPr>
        <w:t>.</w:t>
      </w:r>
      <w:r>
        <w:rPr>
          <w:rFonts w:hint="eastAsia" w:ascii="Arial" w:hAnsi="Arial" w:cs="Arial"/>
          <w:sz w:val="22"/>
        </w:rPr>
        <w:t xml:space="preserve"> </w:t>
      </w:r>
      <w:r>
        <w:rPr>
          <w:rFonts w:ascii="Arial" w:hAnsi="Arial" w:cs="Arial"/>
          <w:sz w:val="22"/>
        </w:rPr>
        <w:t>To fulfill this objective, Roff (2024)</w:t>
      </w:r>
      <w:r>
        <w:rPr>
          <w:rFonts w:hint="eastAsia" w:ascii="Arial" w:hAnsi="Arial" w:cs="Arial"/>
          <w:sz w:val="22"/>
        </w:rPr>
        <w:t xml:space="preserve"> </w:t>
      </w:r>
      <w:r>
        <w:rPr>
          <w:rFonts w:ascii="Arial" w:hAnsi="Arial" w:cs="Arial"/>
          <w:sz w:val="22"/>
        </w:rPr>
        <w:t>investigates not only the legal proceedings but also the deceptive practices</w:t>
      </w:r>
      <w:r>
        <w:rPr>
          <w:rFonts w:hint="eastAsia" w:ascii="Arial" w:hAnsi="Arial" w:cs="Arial"/>
          <w:sz w:val="22"/>
        </w:rPr>
        <w:t xml:space="preserve"> </w:t>
      </w:r>
      <w:r>
        <w:rPr>
          <w:rFonts w:ascii="Arial" w:hAnsi="Arial" w:cs="Arial"/>
          <w:sz w:val="22"/>
        </w:rPr>
        <w:t>that constituted the toxic corporate culture (Roff</w:t>
      </w:r>
      <w:r>
        <w:rPr>
          <w:rFonts w:hint="eastAsia" w:ascii="Arial" w:hAnsi="Arial" w:cs="Arial"/>
          <w:sz w:val="22"/>
        </w:rPr>
        <w:t xml:space="preserve">, </w:t>
      </w:r>
      <w:r>
        <w:rPr>
          <w:rFonts w:ascii="Arial" w:hAnsi="Arial" w:cs="Arial"/>
          <w:sz w:val="22"/>
        </w:rPr>
        <w:t>2024</w:t>
      </w:r>
      <w:r>
        <w:rPr>
          <w:rFonts w:hint="eastAsia" w:ascii="Arial" w:hAnsi="Arial" w:cs="Arial"/>
          <w:sz w:val="22"/>
        </w:rPr>
        <w:t xml:space="preserve">, </w:t>
      </w:r>
      <w:r>
        <w:rPr>
          <w:rFonts w:ascii="Arial" w:hAnsi="Arial" w:cs="Arial"/>
          <w:sz w:val="22"/>
        </w:rPr>
        <w:t>para.</w:t>
      </w:r>
      <w:r>
        <w:rPr>
          <w:rFonts w:hint="eastAsia" w:ascii="Arial" w:hAnsi="Arial" w:cs="Arial"/>
          <w:sz w:val="22"/>
        </w:rPr>
        <w:t xml:space="preserve"> </w:t>
      </w:r>
      <w:r>
        <w:rPr>
          <w:rFonts w:ascii="Arial" w:hAnsi="Arial" w:cs="Arial"/>
          <w:sz w:val="22"/>
        </w:rPr>
        <w:t>1</w:t>
      </w:r>
      <w:r>
        <w:rPr>
          <w:rFonts w:hint="eastAsia" w:ascii="Arial" w:hAnsi="Arial" w:cs="Arial"/>
          <w:sz w:val="22"/>
        </w:rPr>
        <w:t>0</w:t>
      </w:r>
      <w:r>
        <w:rPr>
          <w:rFonts w:ascii="Arial" w:hAnsi="Arial" w:cs="Arial"/>
          <w:sz w:val="22"/>
        </w:rPr>
        <w:t>).</w:t>
      </w:r>
      <w:r>
        <w:t xml:space="preserve"> </w:t>
      </w:r>
      <w:r>
        <w:rPr>
          <w:rFonts w:ascii="Arial" w:hAnsi="Arial" w:cs="Arial"/>
          <w:sz w:val="22"/>
        </w:rPr>
        <w:t>For instance, Roff (2024) details how the environment forced whistleblowers Tyler Shultz and Erika Cheung to bypass internal channels to expose the deception</w:t>
      </w:r>
      <w:r>
        <w:rPr>
          <w:rFonts w:hint="eastAsia" w:ascii="Arial" w:hAnsi="Arial" w:cs="Arial"/>
          <w:sz w:val="22"/>
        </w:rPr>
        <w:t xml:space="preserve"> (Roff, 2024, para</w:t>
      </w:r>
      <w:r>
        <w:rPr>
          <w:rFonts w:ascii="Arial" w:hAnsi="Arial" w:cs="Arial"/>
          <w:sz w:val="22"/>
        </w:rPr>
        <w:t>.</w:t>
      </w:r>
      <w:r>
        <w:rPr>
          <w:rFonts w:hint="eastAsia" w:ascii="Arial" w:hAnsi="Arial" w:cs="Arial"/>
          <w:sz w:val="22"/>
        </w:rPr>
        <w:t xml:space="preserve"> 5).</w:t>
      </w:r>
      <w:r>
        <w:rPr>
          <w:rFonts w:ascii="Arial" w:hAnsi="Arial" w:cs="Arial"/>
          <w:sz w:val="22"/>
        </w:rPr>
        <w:t xml:space="preserve"> Such insights establish the source’s high relevance to the research question, as they underscore the necessity of implementing safe reporting channels. While the source’s publication on a commercial blog suggests a potential weakness in Authority due to the lack of academic peer review, this limitation is effectively mitigated. The content remains credible because it is explicitly grounded in the investigative work of John Carreyrou, the journalist who originally exposed the fraud. Ultimately, while Hayne (2022)</w:t>
      </w:r>
      <w:r>
        <w:rPr>
          <w:rFonts w:hint="eastAsia" w:ascii="Arial" w:hAnsi="Arial" w:cs="Arial"/>
          <w:sz w:val="22"/>
        </w:rPr>
        <w:t xml:space="preserve"> </w:t>
      </w:r>
      <w:r>
        <w:rPr>
          <w:rFonts w:ascii="Arial" w:hAnsi="Arial" w:cs="Arial"/>
          <w:sz w:val="22"/>
        </w:rPr>
        <w:t>offers legal precision, Roff (2024)</w:t>
      </w:r>
      <w:r>
        <w:rPr>
          <w:rFonts w:hint="eastAsia" w:ascii="Arial" w:hAnsi="Arial" w:cs="Arial"/>
          <w:sz w:val="22"/>
        </w:rPr>
        <w:t xml:space="preserve"> </w:t>
      </w:r>
      <w:r>
        <w:rPr>
          <w:rFonts w:ascii="Arial" w:hAnsi="Arial" w:cs="Arial"/>
          <w:sz w:val="22"/>
        </w:rPr>
        <w:t>provides the analytical depth required to formulate effective prevention</w:t>
      </w:r>
      <w:r>
        <w:rPr>
          <w:rFonts w:hint="eastAsia" w:ascii="Arial" w:hAnsi="Arial" w:cs="Arial"/>
          <w:sz w:val="22"/>
        </w:rPr>
        <w:t xml:space="preserve"> policies</w:t>
      </w:r>
      <w:r>
        <w:rPr>
          <w:rFonts w:ascii="Arial" w:hAnsi="Arial" w:cs="Arial"/>
          <w:sz w:val="22"/>
        </w:rPr>
        <w:t>.</w:t>
      </w:r>
    </w:p>
    <w:p w14:paraId="0464F0E0">
      <w:pPr>
        <w:spacing w:line="480" w:lineRule="auto"/>
        <w:jc w:val="center"/>
        <w:rPr>
          <w:rFonts w:ascii="Arial" w:hAnsi="Arial" w:cs="Arial"/>
          <w:b/>
          <w:bCs/>
          <w:sz w:val="22"/>
        </w:rPr>
      </w:pPr>
      <w:bookmarkStart w:id="1" w:name="OLE_LINK3"/>
      <w:r>
        <w:rPr>
          <w:rFonts w:hint="eastAsia" w:ascii="Arial" w:hAnsi="Arial" w:cs="Arial"/>
          <w:b/>
          <w:bCs/>
          <w:sz w:val="22"/>
        </w:rPr>
        <w:t>J</w:t>
      </w:r>
      <w:r>
        <w:rPr>
          <w:rFonts w:ascii="Arial" w:hAnsi="Arial" w:cs="Arial"/>
          <w:b/>
          <w:bCs/>
          <w:sz w:val="22"/>
        </w:rPr>
        <w:t>ustification</w:t>
      </w:r>
      <w:r>
        <w:rPr>
          <w:rFonts w:hint="eastAsia" w:ascii="Arial" w:hAnsi="Arial" w:cs="Arial"/>
          <w:b/>
          <w:bCs/>
          <w:sz w:val="22"/>
        </w:rPr>
        <w:t xml:space="preserve"> for Roff (2024)</w:t>
      </w:r>
    </w:p>
    <w:p w14:paraId="730115D1">
      <w:pPr>
        <w:spacing w:line="480" w:lineRule="auto"/>
        <w:rPr>
          <w:rFonts w:ascii="Arial" w:hAnsi="Arial" w:cs="Arial"/>
          <w:sz w:val="22"/>
        </w:rPr>
      </w:pPr>
      <w:r>
        <w:rPr>
          <w:rFonts w:ascii="Arial" w:hAnsi="Arial" w:cs="Arial"/>
          <w:b/>
          <w:bCs/>
          <w:sz w:val="22"/>
        </w:rPr>
        <w:tab/>
      </w:r>
      <w:r>
        <w:rPr>
          <w:rFonts w:ascii="Arial" w:hAnsi="Arial" w:cs="Arial"/>
          <w:sz w:val="22"/>
        </w:rPr>
        <w:t xml:space="preserve">Roff (2024) constitutes the indispensable choice for this assignment because its high Relevance and educational Purpose directly address the root causes of the fraud, whereas </w:t>
      </w:r>
      <w:r>
        <w:rPr>
          <w:rFonts w:hint="eastAsia" w:ascii="Arial" w:hAnsi="Arial" w:cs="Arial"/>
          <w:sz w:val="22"/>
        </w:rPr>
        <w:t>Hayne (2022)</w:t>
      </w:r>
      <w:r>
        <w:rPr>
          <w:rFonts w:ascii="Arial" w:hAnsi="Arial" w:cs="Arial"/>
          <w:sz w:val="22"/>
        </w:rPr>
        <w:t xml:space="preserve"> merely records the legal fallout. To formulate effective prevention strategies, the CEO must understand the internal factors that prevented honest reporting, rather than just the timeline of the trial. Roff (2024) provides this critical insight by detailing how a "culture of intimidation and secrecy" allowed the deception to persist for years (</w:t>
      </w:r>
      <w:r>
        <w:rPr>
          <w:rFonts w:hint="eastAsia" w:ascii="Arial" w:hAnsi="Arial" w:cs="Arial"/>
          <w:sz w:val="22"/>
        </w:rPr>
        <w:t xml:space="preserve">Roff, 2024, </w:t>
      </w:r>
      <w:r>
        <w:rPr>
          <w:rFonts w:ascii="Arial" w:hAnsi="Arial" w:cs="Arial"/>
          <w:sz w:val="22"/>
        </w:rPr>
        <w:t xml:space="preserve">para. </w:t>
      </w:r>
      <w:r>
        <w:rPr>
          <w:rFonts w:hint="eastAsia" w:ascii="Arial" w:hAnsi="Arial" w:cs="Arial"/>
          <w:sz w:val="22"/>
        </w:rPr>
        <w:t>5</w:t>
      </w:r>
      <w:r>
        <w:rPr>
          <w:rFonts w:ascii="Arial" w:hAnsi="Arial" w:cs="Arial"/>
          <w:sz w:val="22"/>
        </w:rPr>
        <w:t>). This depth allows Mr. Lee to argue that the fraud was not simply a failure of technology, but a failure of governance</w:t>
      </w:r>
      <w:r>
        <w:rPr>
          <w:rFonts w:hint="eastAsia" w:ascii="Arial" w:hAnsi="Arial" w:cs="Arial"/>
          <w:sz w:val="22"/>
        </w:rPr>
        <w:t xml:space="preserve"> </w:t>
      </w:r>
      <w:r>
        <w:rPr>
          <w:rFonts w:ascii="Arial" w:hAnsi="Arial" w:cs="Arial"/>
          <w:sz w:val="22"/>
        </w:rPr>
        <w:t>where “fundamentally incorrect” results were knowingly distributed to patients</w:t>
      </w:r>
      <w:r>
        <w:rPr>
          <w:rFonts w:hint="eastAsia" w:ascii="Arial" w:hAnsi="Arial" w:cs="Arial"/>
          <w:sz w:val="22"/>
        </w:rPr>
        <w:t xml:space="preserve"> </w:t>
      </w:r>
      <w:r>
        <w:rPr>
          <w:rFonts w:ascii="Arial" w:hAnsi="Arial" w:cs="Arial"/>
          <w:sz w:val="22"/>
        </w:rPr>
        <w:t>(</w:t>
      </w:r>
      <w:r>
        <w:rPr>
          <w:rFonts w:hint="eastAsia" w:ascii="Arial" w:hAnsi="Arial" w:cs="Arial"/>
          <w:sz w:val="22"/>
        </w:rPr>
        <w:t xml:space="preserve">Roff, 2024, </w:t>
      </w:r>
      <w:r>
        <w:rPr>
          <w:rFonts w:ascii="Arial" w:hAnsi="Arial" w:cs="Arial"/>
          <w:sz w:val="22"/>
        </w:rPr>
        <w:t xml:space="preserve">para. </w:t>
      </w:r>
      <w:r>
        <w:rPr>
          <w:rFonts w:hint="eastAsia" w:ascii="Arial" w:hAnsi="Arial" w:cs="Arial"/>
          <w:sz w:val="22"/>
        </w:rPr>
        <w:t>5</w:t>
      </w:r>
      <w:r>
        <w:rPr>
          <w:rFonts w:ascii="Arial" w:hAnsi="Arial" w:cs="Arial"/>
          <w:sz w:val="22"/>
        </w:rPr>
        <w:t>).</w:t>
      </w:r>
      <w:r>
        <w:rPr>
          <w:rFonts w:hint="eastAsia" w:ascii="Arial" w:hAnsi="Arial" w:cs="Arial"/>
          <w:sz w:val="22"/>
        </w:rPr>
        <w:t xml:space="preserve"> </w:t>
      </w:r>
    </w:p>
    <w:p w14:paraId="7B3A4A78">
      <w:pPr>
        <w:spacing w:line="480" w:lineRule="auto"/>
        <w:rPr>
          <w:rFonts w:ascii="Arial" w:hAnsi="Arial" w:cs="Arial"/>
          <w:sz w:val="22"/>
        </w:rPr>
      </w:pPr>
      <w:r>
        <w:rPr>
          <w:rFonts w:ascii="Arial" w:hAnsi="Arial" w:cs="Arial"/>
          <w:b/>
          <w:bCs/>
          <w:sz w:val="22"/>
        </w:rPr>
        <w:t>Figure 1</w:t>
      </w:r>
      <w:r>
        <w:rPr>
          <w:rFonts w:ascii="Arial" w:hAnsi="Arial" w:cs="Arial"/>
          <w:sz w:val="22"/>
        </w:rPr>
        <w:t xml:space="preserve"> </w:t>
      </w:r>
    </w:p>
    <w:p w14:paraId="44BC7513">
      <w:pPr>
        <w:spacing w:line="480" w:lineRule="auto"/>
        <w:rPr>
          <w:rFonts w:ascii="Arial" w:hAnsi="Arial" w:cs="Arial"/>
          <w:i/>
          <w:iCs/>
          <w:sz w:val="22"/>
        </w:rPr>
      </w:pPr>
      <w:r>
        <w:rPr>
          <w:rFonts w:ascii="Arial" w:hAnsi="Arial" w:cs="Arial"/>
          <w:i/>
          <w:iCs/>
          <w:sz w:val="22"/>
        </w:rPr>
        <w:t xml:space="preserve">The cover of </w:t>
      </w:r>
      <w:r>
        <w:rPr>
          <w:rFonts w:ascii="Arial" w:hAnsi="Arial" w:cs="Arial"/>
          <w:sz w:val="22"/>
        </w:rPr>
        <w:t>Bad Blood</w:t>
      </w:r>
    </w:p>
    <w:p w14:paraId="1EFC4F27">
      <w:pPr>
        <w:spacing w:line="480" w:lineRule="auto"/>
        <w:rPr>
          <w:rFonts w:ascii="Arial" w:hAnsi="Arial" w:cs="Arial"/>
          <w:sz w:val="22"/>
        </w:rPr>
      </w:pPr>
      <w:r>
        <w:drawing>
          <wp:inline distT="0" distB="0" distL="0" distR="0">
            <wp:extent cx="3142615" cy="49142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142857" cy="4914286"/>
                    </a:xfrm>
                    <a:prstGeom prst="rect">
                      <a:avLst/>
                    </a:prstGeom>
                  </pic:spPr>
                </pic:pic>
              </a:graphicData>
            </a:graphic>
          </wp:inline>
        </w:drawing>
      </w:r>
    </w:p>
    <w:p w14:paraId="4FA74F54">
      <w:pPr>
        <w:spacing w:line="480" w:lineRule="auto"/>
        <w:rPr>
          <w:rFonts w:ascii="Arial" w:hAnsi="Arial" w:cs="Arial"/>
          <w:sz w:val="22"/>
        </w:rPr>
      </w:pPr>
      <w:r>
        <w:rPr>
          <w:rFonts w:hint="eastAsia" w:ascii="Arial" w:hAnsi="Arial" w:cs="Arial"/>
          <w:sz w:val="22"/>
        </w:rPr>
        <w:t>(Source: Roff, 2024)</w:t>
      </w:r>
    </w:p>
    <w:p w14:paraId="05AEECE1">
      <w:pPr>
        <w:spacing w:line="480" w:lineRule="auto"/>
        <w:rPr>
          <w:rFonts w:ascii="Arial" w:hAnsi="Arial" w:cs="Arial"/>
          <w:sz w:val="22"/>
        </w:rPr>
      </w:pPr>
      <w:r>
        <w:rPr>
          <w:rFonts w:ascii="Arial" w:hAnsi="Arial" w:cs="Arial"/>
          <w:sz w:val="22"/>
        </w:rPr>
        <w:tab/>
      </w:r>
      <w:r>
        <w:rPr>
          <w:rFonts w:ascii="Arial" w:hAnsi="Arial" w:cs="Arial"/>
          <w:sz w:val="22"/>
        </w:rPr>
        <w:t xml:space="preserve">As illustrated in Figure 1, the inclusion of John Carreyrou’s book cover serves a strategic function. While Hayne (2022) presents images of the convict, Figure 1 represents the investigative work that exposed the hidden truth behind the company's secrecy. For the CEO’s purpose, this visual is crucial because it shifts the focus from the individual criminal to the necessity of external scrutiny. By selecting </w:t>
      </w:r>
      <w:r>
        <w:rPr>
          <w:rFonts w:hint="eastAsia" w:ascii="Arial" w:hAnsi="Arial" w:cs="Arial"/>
          <w:sz w:val="22"/>
        </w:rPr>
        <w:t>Roff (2024)</w:t>
      </w:r>
      <w:r>
        <w:rPr>
          <w:rFonts w:ascii="Arial" w:hAnsi="Arial" w:cs="Arial"/>
          <w:sz w:val="22"/>
        </w:rPr>
        <w:t xml:space="preserve">, Mr. Lee can demonstrate that preventing fraud requires a corporate culture that protects whistleblowers and values the kind of investigative scrutiny </w:t>
      </w:r>
      <w:r>
        <w:rPr>
          <w:rFonts w:hint="eastAsia" w:ascii="Arial" w:hAnsi="Arial" w:cs="Arial"/>
          <w:sz w:val="22"/>
        </w:rPr>
        <w:t xml:space="preserve">symbolized </w:t>
      </w:r>
      <w:r>
        <w:rPr>
          <w:rFonts w:ascii="Arial" w:hAnsi="Arial" w:cs="Arial"/>
          <w:sz w:val="22"/>
        </w:rPr>
        <w:t xml:space="preserve">by Figure 1, rather than the blind loyalty demanded by Theranos. Consequently, Roff (2024) is </w:t>
      </w:r>
      <w:r>
        <w:rPr>
          <w:rFonts w:hint="eastAsia" w:ascii="Arial" w:hAnsi="Arial" w:cs="Arial"/>
          <w:sz w:val="22"/>
        </w:rPr>
        <w:t>a</w:t>
      </w:r>
      <w:r>
        <w:rPr>
          <w:rFonts w:ascii="Arial" w:hAnsi="Arial" w:cs="Arial"/>
          <w:sz w:val="22"/>
        </w:rPr>
        <w:t xml:space="preserve"> </w:t>
      </w:r>
      <w:r>
        <w:rPr>
          <w:rFonts w:hint="eastAsia" w:ascii="Arial" w:hAnsi="Arial" w:cs="Arial"/>
          <w:sz w:val="22"/>
        </w:rPr>
        <w:t xml:space="preserve">more suitable </w:t>
      </w:r>
      <w:r>
        <w:rPr>
          <w:rFonts w:ascii="Arial" w:hAnsi="Arial" w:cs="Arial"/>
          <w:sz w:val="22"/>
        </w:rPr>
        <w:t>choice because it identifies the specific cultural problem, enabling the formulation of proactive ethical strategies.</w:t>
      </w:r>
    </w:p>
    <w:bookmarkEnd w:id="1"/>
    <w:p w14:paraId="7082C5B3">
      <w:pPr>
        <w:spacing w:line="480" w:lineRule="auto"/>
        <w:jc w:val="center"/>
        <w:rPr>
          <w:rFonts w:ascii="Arial" w:hAnsi="Arial" w:cs="Arial"/>
          <w:sz w:val="22"/>
        </w:rPr>
      </w:pPr>
      <w:r>
        <w:rPr>
          <w:rFonts w:ascii="Arial" w:hAnsi="Arial" w:cs="Arial"/>
          <w:b/>
          <w:bCs/>
          <w:sz w:val="22"/>
        </w:rPr>
        <w:t>Counterargument</w:t>
      </w:r>
    </w:p>
    <w:p w14:paraId="0E8C6D77">
      <w:pPr>
        <w:spacing w:line="480" w:lineRule="auto"/>
        <w:rPr>
          <w:rFonts w:ascii="Arial" w:hAnsi="Arial" w:cs="Arial"/>
          <w:sz w:val="22"/>
        </w:rPr>
      </w:pPr>
      <w:r>
        <w:rPr>
          <w:rFonts w:ascii="Arial" w:hAnsi="Arial" w:cs="Arial"/>
          <w:sz w:val="22"/>
        </w:rPr>
        <w:tab/>
      </w:r>
      <w:r>
        <w:rPr>
          <w:rFonts w:ascii="Arial" w:hAnsi="Arial" w:cs="Arial"/>
          <w:sz w:val="22"/>
        </w:rPr>
        <w:t xml:space="preserve">A significant counterargument against selecting Roff (2024) is the potential concern regarding Authority and Purpose. Critics might contend that Hayne (2022), published by the Australian Broadcasting Corporation (ABC), represents a </w:t>
      </w:r>
      <w:r>
        <w:rPr>
          <w:rFonts w:hint="eastAsia" w:ascii="Arial" w:hAnsi="Arial" w:cs="Arial"/>
          <w:sz w:val="22"/>
        </w:rPr>
        <w:t xml:space="preserve">more reliable </w:t>
      </w:r>
      <w:r>
        <w:rPr>
          <w:rFonts w:ascii="Arial" w:hAnsi="Arial" w:cs="Arial"/>
          <w:sz w:val="22"/>
        </w:rPr>
        <w:t xml:space="preserve">standard of objective journalism, whereas Roff (2024) is </w:t>
      </w:r>
      <w:r>
        <w:rPr>
          <w:rFonts w:hint="eastAsia" w:ascii="Arial" w:hAnsi="Arial" w:cs="Arial"/>
          <w:sz w:val="22"/>
        </w:rPr>
        <w:t xml:space="preserve">essentially </w:t>
      </w:r>
      <w:r>
        <w:rPr>
          <w:rFonts w:ascii="Arial" w:hAnsi="Arial" w:cs="Arial"/>
          <w:sz w:val="22"/>
        </w:rPr>
        <w:t>a commercial blog entry designed to market a book. From this perspective, rel</w:t>
      </w:r>
      <w:r>
        <w:rPr>
          <w:rFonts w:hint="eastAsia" w:ascii="Arial" w:hAnsi="Arial" w:cs="Arial"/>
          <w:sz w:val="22"/>
        </w:rPr>
        <w:t>ying</w:t>
      </w:r>
      <w:r>
        <w:rPr>
          <w:rFonts w:ascii="Arial" w:hAnsi="Arial" w:cs="Arial"/>
          <w:sz w:val="22"/>
        </w:rPr>
        <w:t xml:space="preserve"> on a commercial source could be perceived as undermining the </w:t>
      </w:r>
      <w:r>
        <w:rPr>
          <w:rFonts w:hint="eastAsia" w:ascii="Arial" w:hAnsi="Arial" w:cs="Arial"/>
          <w:sz w:val="22"/>
        </w:rPr>
        <w:t xml:space="preserve">professionalism </w:t>
      </w:r>
      <w:r>
        <w:rPr>
          <w:rFonts w:ascii="Arial" w:hAnsi="Arial" w:cs="Arial"/>
          <w:sz w:val="22"/>
        </w:rPr>
        <w:t xml:space="preserve">of </w:t>
      </w:r>
      <w:r>
        <w:rPr>
          <w:rFonts w:hint="eastAsia" w:ascii="Arial" w:hAnsi="Arial" w:cs="Arial"/>
          <w:sz w:val="22"/>
        </w:rPr>
        <w:t xml:space="preserve">the </w:t>
      </w:r>
      <w:r>
        <w:rPr>
          <w:rFonts w:ascii="Arial" w:hAnsi="Arial" w:cs="Arial"/>
          <w:sz w:val="22"/>
        </w:rPr>
        <w:t xml:space="preserve">conference presentation. Indeed, the primary function of </w:t>
      </w:r>
      <w:r>
        <w:rPr>
          <w:rFonts w:hint="eastAsia" w:ascii="Arial" w:hAnsi="Arial" w:cs="Arial"/>
          <w:sz w:val="22"/>
        </w:rPr>
        <w:t xml:space="preserve">Hayne (2022) </w:t>
      </w:r>
      <w:r>
        <w:rPr>
          <w:rFonts w:ascii="Arial" w:hAnsi="Arial" w:cs="Arial"/>
          <w:sz w:val="22"/>
        </w:rPr>
        <w:t xml:space="preserve">is to record the court's judgment without bias, ensuring a high degree of </w:t>
      </w:r>
      <w:r>
        <w:rPr>
          <w:rFonts w:hint="eastAsia" w:ascii="Arial" w:hAnsi="Arial" w:cs="Arial"/>
          <w:sz w:val="22"/>
        </w:rPr>
        <w:t>a</w:t>
      </w:r>
      <w:r>
        <w:rPr>
          <w:rFonts w:ascii="Arial" w:hAnsi="Arial" w:cs="Arial"/>
          <w:sz w:val="22"/>
        </w:rPr>
        <w:t>ccuracy regarding the legal outcome. However, this critique overlooks the specific needs of the CEO. Although Hayne (2022) has authority regarding the verdict, explicitly listing the four counts of fraud</w:t>
      </w:r>
      <w:r>
        <w:t xml:space="preserve"> </w:t>
      </w:r>
      <w:r>
        <w:rPr>
          <w:rFonts w:ascii="Arial" w:hAnsi="Arial" w:cs="Arial"/>
          <w:sz w:val="22"/>
        </w:rPr>
        <w:t>and the defense’s failed attempt to blame “Sunny Balwani”, it lacks the necessary depth to explain how the fraud actually happened</w:t>
      </w:r>
      <w:r>
        <w:rPr>
          <w:rFonts w:hint="eastAsia" w:ascii="Arial" w:hAnsi="Arial" w:cs="Arial"/>
          <w:sz w:val="22"/>
        </w:rPr>
        <w:t xml:space="preserve"> (Hayne, 2022, para. 55)</w:t>
      </w:r>
      <w:r>
        <w:rPr>
          <w:rFonts w:ascii="Arial" w:hAnsi="Arial" w:cs="Arial"/>
          <w:sz w:val="22"/>
        </w:rPr>
        <w:t xml:space="preserve">. The commercial intent of Roff (2024) does not reduce the value of its content, particularly regarding the </w:t>
      </w:r>
      <w:r>
        <w:rPr>
          <w:rFonts w:hint="eastAsia" w:ascii="Arial" w:hAnsi="Arial" w:cs="Arial"/>
          <w:sz w:val="22"/>
        </w:rPr>
        <w:t xml:space="preserve">system of </w:t>
      </w:r>
      <w:r>
        <w:rPr>
          <w:rFonts w:ascii="Arial" w:hAnsi="Arial" w:cs="Arial"/>
          <w:sz w:val="22"/>
        </w:rPr>
        <w:t>fraud.</w:t>
      </w:r>
      <w:r>
        <w:rPr>
          <w:b/>
          <w:bCs/>
        </w:rPr>
        <w:t xml:space="preserve"> </w:t>
      </w:r>
      <w:r>
        <w:rPr>
          <w:rFonts w:ascii="Arial" w:hAnsi="Arial" w:cs="Arial"/>
          <w:sz w:val="22"/>
        </w:rPr>
        <w:t xml:space="preserve">Specifically, </w:t>
      </w:r>
      <w:r>
        <w:rPr>
          <w:rFonts w:hint="eastAsia" w:ascii="Arial" w:hAnsi="Arial" w:cs="Arial"/>
          <w:sz w:val="22"/>
        </w:rPr>
        <w:t xml:space="preserve">Roff (2024) </w:t>
      </w:r>
      <w:r>
        <w:rPr>
          <w:rFonts w:ascii="Arial" w:hAnsi="Arial" w:cs="Arial"/>
          <w:sz w:val="22"/>
        </w:rPr>
        <w:t>cites the “faked test results” and the failure of the “Edison devices,” framing these technical errors not as accidents, but as the direct products of a “toxic culture” enforced by “intimidation” tactics (Roff, 2024, para. 5). To prioritize the neutral legal facts of Hayne (2022) over these ethical insights would be a strategic error. It would provide Mr. Lee with a record of the “prison sentence” rather than an understanding of the “secrets and lies” that caused the collapse.</w:t>
      </w:r>
      <w:r>
        <w:rPr>
          <w:rFonts w:hint="eastAsia" w:ascii="Arial" w:hAnsi="Arial" w:cs="Arial"/>
          <w:sz w:val="22"/>
        </w:rPr>
        <w:t xml:space="preserve"> Thus</w:t>
      </w:r>
      <w:r>
        <w:rPr>
          <w:rFonts w:ascii="Arial" w:hAnsi="Arial" w:cs="Arial"/>
          <w:sz w:val="22"/>
        </w:rPr>
        <w:t>, the limitation of Roff</w:t>
      </w:r>
      <w:r>
        <w:rPr>
          <w:rFonts w:hint="eastAsia" w:ascii="Arial" w:hAnsi="Arial" w:cs="Arial"/>
          <w:sz w:val="22"/>
        </w:rPr>
        <w:t xml:space="preserve"> (2024)</w:t>
      </w:r>
      <w:r>
        <w:rPr>
          <w:rFonts w:ascii="Arial" w:hAnsi="Arial" w:cs="Arial"/>
          <w:sz w:val="22"/>
        </w:rPr>
        <w:t xml:space="preserve"> is outweighed by its </w:t>
      </w:r>
      <w:r>
        <w:rPr>
          <w:rFonts w:hint="eastAsia" w:ascii="Arial" w:hAnsi="Arial" w:cs="Arial"/>
          <w:sz w:val="22"/>
        </w:rPr>
        <w:t xml:space="preserve">practical </w:t>
      </w:r>
      <w:r>
        <w:rPr>
          <w:rFonts w:ascii="Arial" w:hAnsi="Arial" w:cs="Arial"/>
          <w:sz w:val="22"/>
        </w:rPr>
        <w:t xml:space="preserve">utility in diagnosing the scandal, making it the more </w:t>
      </w:r>
      <w:r>
        <w:rPr>
          <w:rFonts w:hint="eastAsia" w:ascii="Arial" w:hAnsi="Arial" w:cs="Arial"/>
          <w:sz w:val="22"/>
        </w:rPr>
        <w:t xml:space="preserve">powerful </w:t>
      </w:r>
      <w:r>
        <w:rPr>
          <w:rFonts w:ascii="Arial" w:hAnsi="Arial" w:cs="Arial"/>
          <w:sz w:val="22"/>
        </w:rPr>
        <w:t>choice for formulating prevention strategies.</w:t>
      </w:r>
    </w:p>
    <w:p w14:paraId="34E492CB">
      <w:pPr>
        <w:spacing w:line="480" w:lineRule="auto"/>
        <w:jc w:val="center"/>
        <w:rPr>
          <w:rFonts w:ascii="Arial" w:hAnsi="Arial" w:cs="Arial"/>
          <w:b/>
          <w:bCs/>
          <w:sz w:val="22"/>
        </w:rPr>
      </w:pPr>
      <w:r>
        <w:rPr>
          <w:rFonts w:ascii="Arial" w:hAnsi="Arial" w:cs="Arial"/>
          <w:b/>
          <w:bCs/>
          <w:sz w:val="22"/>
        </w:rPr>
        <w:t>Conclusion</w:t>
      </w:r>
    </w:p>
    <w:p w14:paraId="110A75B4">
      <w:pPr>
        <w:spacing w:line="480" w:lineRule="auto"/>
        <w:rPr>
          <w:rFonts w:hint="eastAsia" w:ascii="Arial" w:hAnsi="Arial" w:cs="Arial"/>
          <w:sz w:val="22"/>
        </w:rPr>
      </w:pPr>
      <w:r>
        <w:rPr>
          <w:rFonts w:ascii="Arial" w:hAnsi="Arial" w:cs="Arial"/>
          <w:b/>
          <w:bCs/>
          <w:sz w:val="22"/>
        </w:rPr>
        <w:tab/>
      </w:r>
      <w:r>
        <w:rPr>
          <w:rFonts w:ascii="Arial" w:hAnsi="Arial" w:cs="Arial"/>
          <w:sz w:val="22"/>
        </w:rPr>
        <w:t>In conclusion, the comparison confirms that while Hayne (2022) provides an authoritative record of the court's judgment, its utility is limited by a focus on the individual drama. Hayne (2022)’</w:t>
      </w:r>
      <w:r>
        <w:rPr>
          <w:rFonts w:hint="eastAsia" w:ascii="Arial" w:hAnsi="Arial" w:cs="Arial"/>
          <w:sz w:val="22"/>
        </w:rPr>
        <w:t>s</w:t>
      </w:r>
      <w:r>
        <w:rPr>
          <w:rFonts w:ascii="Arial" w:hAnsi="Arial" w:cs="Arial"/>
          <w:sz w:val="22"/>
        </w:rPr>
        <w:t xml:space="preserve"> emphasis on the trial’s drama offers little to help the CEO develop </w:t>
      </w:r>
      <w:r>
        <w:rPr>
          <w:rFonts w:hint="eastAsia" w:ascii="Arial" w:hAnsi="Arial" w:cs="Arial"/>
          <w:sz w:val="22"/>
        </w:rPr>
        <w:t>useful measures</w:t>
      </w:r>
      <w:r>
        <w:rPr>
          <w:rFonts w:ascii="Arial" w:hAnsi="Arial" w:cs="Arial"/>
          <w:sz w:val="22"/>
        </w:rPr>
        <w:t>. Roff (2024), conversely, demonstrates superior Relevance by</w:t>
      </w:r>
      <w:r>
        <w:t xml:space="preserve"> </w:t>
      </w:r>
      <w:r>
        <w:rPr>
          <w:rFonts w:ascii="Arial" w:hAnsi="Arial" w:cs="Arial"/>
          <w:sz w:val="22"/>
        </w:rPr>
        <w:t>exposing</w:t>
      </w:r>
      <w:r>
        <w:rPr>
          <w:rFonts w:hint="eastAsia" w:ascii="Arial" w:hAnsi="Arial" w:cs="Arial"/>
          <w:sz w:val="22"/>
        </w:rPr>
        <w:t xml:space="preserve"> </w:t>
      </w:r>
      <w:r>
        <w:rPr>
          <w:rFonts w:ascii="Arial" w:hAnsi="Arial" w:cs="Arial"/>
          <w:sz w:val="22"/>
        </w:rPr>
        <w:t>the systemic corruption and the suppression of whistleblowers. By selecting this source, Mr. Lee can transcend the simple legal narrative to address the specific failures in governance. This approach allows him to demonstrate that effective prevention requires not just punishing the criminal, but establishing safe reporting channels to expose internal lies. Therefore, Roff (2024) is the recommended source, as it equips the organization with the insights needed to detect and deter future deception.</w:t>
      </w:r>
    </w:p>
    <w:p w14:paraId="37FBC309">
      <w:pPr>
        <w:spacing w:line="480" w:lineRule="auto"/>
        <w:rPr>
          <w:rFonts w:ascii="Arial" w:hAnsi="Arial" w:cs="Arial"/>
          <w:sz w:val="22"/>
        </w:rPr>
      </w:pPr>
      <w:r>
        <w:rPr>
          <w:rFonts w:hint="eastAsia" w:ascii="Arial" w:hAnsi="Arial" w:cs="Arial"/>
          <w:sz w:val="22"/>
        </w:rPr>
        <w:t>(Word count:1244)</w:t>
      </w:r>
    </w:p>
    <w:p w14:paraId="5F8677EE">
      <w:pPr>
        <w:widowControl/>
        <w:jc w:val="left"/>
        <w:rPr>
          <w:rFonts w:ascii="Arial" w:hAnsi="Arial" w:cs="Arial"/>
          <w:sz w:val="22"/>
        </w:rPr>
      </w:pPr>
    </w:p>
    <w:p w14:paraId="42A67B7C">
      <w:pPr>
        <w:widowControl/>
        <w:jc w:val="left"/>
        <w:rPr>
          <w:rFonts w:ascii="Arial" w:hAnsi="Arial" w:cs="Arial"/>
          <w:b/>
          <w:bCs/>
          <w:sz w:val="22"/>
        </w:rPr>
      </w:pPr>
    </w:p>
    <w:p w14:paraId="3C7EFBF4">
      <w:pPr>
        <w:widowControl/>
        <w:jc w:val="left"/>
        <w:rPr>
          <w:rFonts w:ascii="Arial" w:hAnsi="Arial" w:cs="Arial"/>
          <w:b/>
          <w:bCs/>
          <w:sz w:val="22"/>
        </w:rPr>
      </w:pPr>
    </w:p>
    <w:p w14:paraId="53BFED27">
      <w:pPr>
        <w:widowControl/>
        <w:jc w:val="left"/>
        <w:rPr>
          <w:rFonts w:hint="eastAsia" w:ascii="Arial" w:hAnsi="Arial" w:cs="Arial"/>
          <w:b/>
          <w:bCs/>
          <w:sz w:val="22"/>
        </w:rPr>
      </w:pPr>
    </w:p>
    <w:p w14:paraId="7DEB77E5">
      <w:pPr>
        <w:spacing w:line="480" w:lineRule="auto"/>
        <w:jc w:val="center"/>
        <w:rPr>
          <w:rFonts w:ascii="Arial" w:hAnsi="Arial" w:cs="Arial"/>
          <w:sz w:val="22"/>
        </w:rPr>
      </w:pPr>
      <w:r>
        <w:rPr>
          <w:rFonts w:ascii="Arial" w:hAnsi="Arial" w:cs="Arial"/>
          <w:b/>
          <w:bCs/>
          <w:sz w:val="22"/>
        </w:rPr>
        <w:t>References</w:t>
      </w:r>
    </w:p>
    <w:p w14:paraId="4D6385F3">
      <w:pPr>
        <w:spacing w:line="480" w:lineRule="auto"/>
        <w:ind w:left="440" w:hanging="440" w:hangingChars="200"/>
        <w:jc w:val="left"/>
        <w:rPr>
          <w:rFonts w:ascii="Arial" w:hAnsi="Arial" w:cs="Arial"/>
          <w:sz w:val="22"/>
        </w:rPr>
      </w:pPr>
      <w:r>
        <w:rPr>
          <w:rFonts w:ascii="Arial" w:hAnsi="Arial" w:cs="Arial"/>
          <w:sz w:val="22"/>
        </w:rPr>
        <w:t xml:space="preserve">Hayne, J. (2022, January 4). </w:t>
      </w:r>
      <w:r>
        <w:rPr>
          <w:rFonts w:ascii="Arial" w:hAnsi="Arial" w:cs="Arial"/>
          <w:i/>
          <w:iCs/>
          <w:sz w:val="22"/>
        </w:rPr>
        <w:t>How Theranos founder Elizabeth Holmes went from the cover of Forbes to being found guilty on charges of fraud</w:t>
      </w:r>
      <w:r>
        <w:rPr>
          <w:rFonts w:ascii="Arial" w:hAnsi="Arial" w:cs="Arial"/>
          <w:sz w:val="22"/>
        </w:rPr>
        <w:t>. ABC News.</w:t>
      </w:r>
      <w:r>
        <w:rPr>
          <w:rFonts w:hint="eastAsia"/>
        </w:rPr>
        <w:t xml:space="preserve"> </w:t>
      </w:r>
      <w:r>
        <w:fldChar w:fldCharType="begin"/>
      </w:r>
      <w:r>
        <w:instrText xml:space="preserve"> HYPERLINK "https://www.abc.net.au/news/2022-01-04/elizabeth-holmes-theranos-trial-verdict-guilty/100645818" </w:instrText>
      </w:r>
      <w:r>
        <w:fldChar w:fldCharType="separate"/>
      </w:r>
      <w:r>
        <w:rPr>
          <w:rStyle w:val="18"/>
          <w:rFonts w:ascii="Arial" w:hAnsi="Arial" w:cs="Arial"/>
          <w:sz w:val="22"/>
        </w:rPr>
        <w:t>https://www.abc.net.au/news/2022-01-04/elizabeth-holmes-theranos-trial-verdict-guilty/100645818</w:t>
      </w:r>
      <w:r>
        <w:rPr>
          <w:rStyle w:val="18"/>
          <w:rFonts w:ascii="Arial" w:hAnsi="Arial" w:cs="Arial"/>
          <w:sz w:val="22"/>
        </w:rPr>
        <w:fldChar w:fldCharType="end"/>
      </w:r>
    </w:p>
    <w:p w14:paraId="212FC5CB">
      <w:pPr>
        <w:spacing w:line="480" w:lineRule="auto"/>
        <w:ind w:left="440" w:hanging="440" w:hangingChars="200"/>
        <w:jc w:val="left"/>
        <w:rPr>
          <w:rFonts w:hint="eastAsia" w:ascii="Arial" w:hAnsi="Arial" w:cs="Arial"/>
          <w:sz w:val="22"/>
        </w:rPr>
      </w:pPr>
    </w:p>
    <w:p w14:paraId="445AA673">
      <w:pPr>
        <w:spacing w:line="480" w:lineRule="auto"/>
        <w:ind w:left="440" w:hanging="440" w:hangingChars="200"/>
        <w:jc w:val="left"/>
        <w:rPr>
          <w:rFonts w:ascii="Arial" w:hAnsi="Arial" w:cs="Arial"/>
          <w:sz w:val="22"/>
        </w:rPr>
      </w:pPr>
      <w:bookmarkStart w:id="2" w:name="OLE_LINK2"/>
      <w:r>
        <w:rPr>
          <w:rFonts w:ascii="Arial" w:hAnsi="Arial" w:cs="Arial"/>
          <w:sz w:val="22"/>
        </w:rPr>
        <w:t xml:space="preserve">Roff, C. (2024, March 25). </w:t>
      </w:r>
      <w:r>
        <w:rPr>
          <w:rFonts w:ascii="Arial" w:hAnsi="Arial" w:cs="Arial"/>
          <w:i/>
          <w:iCs/>
          <w:sz w:val="22"/>
        </w:rPr>
        <w:t>Everything you need to know about the Theranos scandal</w:t>
      </w:r>
      <w:r>
        <w:rPr>
          <w:rFonts w:ascii="Arial" w:hAnsi="Arial" w:cs="Arial"/>
          <w:sz w:val="22"/>
        </w:rPr>
        <w:t xml:space="preserve">. Pan Macmillan. </w:t>
      </w:r>
      <w:r>
        <w:fldChar w:fldCharType="begin"/>
      </w:r>
      <w:r>
        <w:instrText xml:space="preserve"> HYPERLINK "https://www.panmacmillan.com/blogs/literary/theranos-elizabeth-holmes-john-carreyrou" \t "_blank" </w:instrText>
      </w:r>
      <w:r>
        <w:fldChar w:fldCharType="separate"/>
      </w:r>
      <w:r>
        <w:rPr>
          <w:rStyle w:val="18"/>
          <w:rFonts w:ascii="Arial" w:hAnsi="Arial" w:cs="Arial"/>
          <w:sz w:val="22"/>
        </w:rPr>
        <w:t>https://www.panmacmillan.com/blogs/literary/theranos-elizabeth-holmes-john-carreyrou</w:t>
      </w:r>
      <w:r>
        <w:rPr>
          <w:rStyle w:val="18"/>
          <w:rFonts w:ascii="Arial" w:hAnsi="Arial" w:cs="Arial"/>
          <w:sz w:val="22"/>
        </w:rPr>
        <w:fldChar w:fldCharType="end"/>
      </w:r>
    </w:p>
    <w:bookmarkEnd w:id="2"/>
    <w:p w14:paraId="1F080386">
      <w:pPr>
        <w:spacing w:line="480" w:lineRule="auto"/>
        <w:rPr>
          <w:rFonts w:ascii="Arial" w:hAnsi="Arial" w:cs="Arial"/>
          <w:sz w:val="22"/>
        </w:rPr>
      </w:pPr>
    </w:p>
    <w:sectPr>
      <w:footerReference r:id="rId3" w:type="default"/>
      <w:pgSz w:w="11906" w:h="16838"/>
      <w:pgMar w:top="2041"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8695704"/>
      <w:docPartObj>
        <w:docPartGallery w:val="AutoText"/>
      </w:docPartObj>
    </w:sdtPr>
    <w:sdtContent>
      <w:p w14:paraId="5CA2167F">
        <w:pPr>
          <w:pStyle w:val="11"/>
          <w:jc w:val="center"/>
        </w:pPr>
        <w:r>
          <w:fldChar w:fldCharType="begin"/>
        </w:r>
        <w:r>
          <w:instrText xml:space="preserve">PAGE   \* MERGEFORMAT</w:instrText>
        </w:r>
        <w:r>
          <w:fldChar w:fldCharType="separate"/>
        </w:r>
        <w:r>
          <w:rPr>
            <w:lang w:val="zh-CN"/>
          </w:rPr>
          <w:t>2</w:t>
        </w:r>
        <w:r>
          <w:fldChar w:fldCharType="end"/>
        </w:r>
      </w:p>
    </w:sdtContent>
  </w:sdt>
  <w:p w14:paraId="255F0067">
    <w:pPr>
      <w:pStyle w:val="11"/>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urrentStyleCount" w:val="5"/>
  </w:docVars>
  <w:rsids>
    <w:rsidRoot w:val="007B5A45"/>
    <w:rsid w:val="00010085"/>
    <w:rsid w:val="0002299F"/>
    <w:rsid w:val="000706AF"/>
    <w:rsid w:val="00076479"/>
    <w:rsid w:val="000918B1"/>
    <w:rsid w:val="000C0212"/>
    <w:rsid w:val="000D5AE7"/>
    <w:rsid w:val="000F221E"/>
    <w:rsid w:val="000F3B57"/>
    <w:rsid w:val="001211EE"/>
    <w:rsid w:val="0013527F"/>
    <w:rsid w:val="00146C0C"/>
    <w:rsid w:val="00164C86"/>
    <w:rsid w:val="0018164D"/>
    <w:rsid w:val="001D129E"/>
    <w:rsid w:val="001D2AA6"/>
    <w:rsid w:val="001D3D8C"/>
    <w:rsid w:val="001D719E"/>
    <w:rsid w:val="00204043"/>
    <w:rsid w:val="00220A83"/>
    <w:rsid w:val="00227C16"/>
    <w:rsid w:val="00231E94"/>
    <w:rsid w:val="00256BF6"/>
    <w:rsid w:val="00281581"/>
    <w:rsid w:val="0028654D"/>
    <w:rsid w:val="002A7EBA"/>
    <w:rsid w:val="002B4F65"/>
    <w:rsid w:val="002B7FAF"/>
    <w:rsid w:val="003351A0"/>
    <w:rsid w:val="003C0A72"/>
    <w:rsid w:val="003D763C"/>
    <w:rsid w:val="003E1988"/>
    <w:rsid w:val="003E2613"/>
    <w:rsid w:val="003E7C17"/>
    <w:rsid w:val="003F383E"/>
    <w:rsid w:val="00433F64"/>
    <w:rsid w:val="00443EFE"/>
    <w:rsid w:val="00446A53"/>
    <w:rsid w:val="00446FAD"/>
    <w:rsid w:val="00480C51"/>
    <w:rsid w:val="004C1936"/>
    <w:rsid w:val="004C7576"/>
    <w:rsid w:val="0052036C"/>
    <w:rsid w:val="00535CE2"/>
    <w:rsid w:val="00557A24"/>
    <w:rsid w:val="0058785A"/>
    <w:rsid w:val="00587BBA"/>
    <w:rsid w:val="005A395F"/>
    <w:rsid w:val="005A6081"/>
    <w:rsid w:val="005B165A"/>
    <w:rsid w:val="005D5C83"/>
    <w:rsid w:val="00601063"/>
    <w:rsid w:val="006253A3"/>
    <w:rsid w:val="006640B9"/>
    <w:rsid w:val="00681FF2"/>
    <w:rsid w:val="00682B2A"/>
    <w:rsid w:val="006842FD"/>
    <w:rsid w:val="006D0F25"/>
    <w:rsid w:val="006E3594"/>
    <w:rsid w:val="006F0315"/>
    <w:rsid w:val="007077C1"/>
    <w:rsid w:val="00731612"/>
    <w:rsid w:val="00741DE1"/>
    <w:rsid w:val="00794B52"/>
    <w:rsid w:val="007B5A45"/>
    <w:rsid w:val="007C02EF"/>
    <w:rsid w:val="007D4A70"/>
    <w:rsid w:val="00813D83"/>
    <w:rsid w:val="00822A5E"/>
    <w:rsid w:val="008404B2"/>
    <w:rsid w:val="00870BDA"/>
    <w:rsid w:val="00886611"/>
    <w:rsid w:val="008C22F0"/>
    <w:rsid w:val="008E393B"/>
    <w:rsid w:val="008F0C79"/>
    <w:rsid w:val="008F6E39"/>
    <w:rsid w:val="00903F0C"/>
    <w:rsid w:val="00907219"/>
    <w:rsid w:val="00915839"/>
    <w:rsid w:val="0092302F"/>
    <w:rsid w:val="0092794E"/>
    <w:rsid w:val="00934144"/>
    <w:rsid w:val="00936EE4"/>
    <w:rsid w:val="00954F67"/>
    <w:rsid w:val="00960730"/>
    <w:rsid w:val="009614CD"/>
    <w:rsid w:val="00997C29"/>
    <w:rsid w:val="009A4549"/>
    <w:rsid w:val="009D41B9"/>
    <w:rsid w:val="00A14036"/>
    <w:rsid w:val="00A36C7E"/>
    <w:rsid w:val="00A44077"/>
    <w:rsid w:val="00A51659"/>
    <w:rsid w:val="00A66AAE"/>
    <w:rsid w:val="00A71549"/>
    <w:rsid w:val="00AE7ECA"/>
    <w:rsid w:val="00AF71CB"/>
    <w:rsid w:val="00B40ED3"/>
    <w:rsid w:val="00B64279"/>
    <w:rsid w:val="00B85761"/>
    <w:rsid w:val="00BB5A27"/>
    <w:rsid w:val="00BC510B"/>
    <w:rsid w:val="00BE19E8"/>
    <w:rsid w:val="00BF7EAC"/>
    <w:rsid w:val="00C20500"/>
    <w:rsid w:val="00C3463F"/>
    <w:rsid w:val="00C60F50"/>
    <w:rsid w:val="00CB6A8B"/>
    <w:rsid w:val="00CF1427"/>
    <w:rsid w:val="00D2396C"/>
    <w:rsid w:val="00D52D10"/>
    <w:rsid w:val="00D6214F"/>
    <w:rsid w:val="00DF0D85"/>
    <w:rsid w:val="00E10F51"/>
    <w:rsid w:val="00E242C0"/>
    <w:rsid w:val="00E3702C"/>
    <w:rsid w:val="00E51495"/>
    <w:rsid w:val="00E736BF"/>
    <w:rsid w:val="00E9358E"/>
    <w:rsid w:val="00E97CC5"/>
    <w:rsid w:val="00EA0088"/>
    <w:rsid w:val="00EA1630"/>
    <w:rsid w:val="00EB10A8"/>
    <w:rsid w:val="00EB4B64"/>
    <w:rsid w:val="00EC0D57"/>
    <w:rsid w:val="00ED51D0"/>
    <w:rsid w:val="00EE02DF"/>
    <w:rsid w:val="00F5084F"/>
    <w:rsid w:val="00F5483F"/>
    <w:rsid w:val="00F72F7C"/>
    <w:rsid w:val="00F73FD8"/>
    <w:rsid w:val="00F8158D"/>
    <w:rsid w:val="00F964AE"/>
    <w:rsid w:val="00FA580C"/>
    <w:rsid w:val="00FB3692"/>
    <w:rsid w:val="00FB3C2D"/>
    <w:rsid w:val="8EF74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E75B6"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E75B6"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E75B6"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E75B6"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2E75B6"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8"/>
    <w:unhideWhenUsed/>
    <w:uiPriority w:val="99"/>
    <w:pPr>
      <w:tabs>
        <w:tab w:val="center" w:pos="4153"/>
        <w:tab w:val="right" w:pos="8306"/>
      </w:tabs>
      <w:snapToGrid w:val="0"/>
      <w:jc w:val="left"/>
    </w:pPr>
    <w:rPr>
      <w:sz w:val="18"/>
      <w:szCs w:val="18"/>
    </w:rPr>
  </w:style>
  <w:style w:type="paragraph" w:styleId="12">
    <w:name w:val="header"/>
    <w:basedOn w:val="1"/>
    <w:link w:val="37"/>
    <w:unhideWhenUsed/>
    <w:uiPriority w:val="99"/>
    <w:pPr>
      <w:tabs>
        <w:tab w:val="center" w:pos="4153"/>
        <w:tab w:val="right" w:pos="8306"/>
      </w:tabs>
      <w:snapToGrid w:val="0"/>
      <w:jc w:val="center"/>
    </w:pPr>
    <w:rPr>
      <w:sz w:val="18"/>
      <w:szCs w:val="18"/>
    </w:rPr>
  </w:style>
  <w:style w:type="paragraph" w:styleId="13">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FollowedHyperlink"/>
    <w:basedOn w:val="16"/>
    <w:semiHidden/>
    <w:unhideWhenUsed/>
    <w:uiPriority w:val="99"/>
    <w:rPr>
      <w:color w:val="954F72" w:themeColor="followedHyperlink"/>
      <w:u w:val="single"/>
      <w14:textFill>
        <w14:solidFill>
          <w14:schemeClr w14:val="folHlink"/>
        </w14:solidFill>
      </w14:textFill>
    </w:rPr>
  </w:style>
  <w:style w:type="character" w:styleId="18">
    <w:name w:val="Hyperlink"/>
    <w:basedOn w:val="16"/>
    <w:unhideWhenUsed/>
    <w:uiPriority w:val="99"/>
    <w:rPr>
      <w:color w:val="0563C1" w:themeColor="hyperlink"/>
      <w:u w:val="single"/>
      <w14:textFill>
        <w14:solidFill>
          <w14:schemeClr w14:val="hlink"/>
        </w14:solidFill>
      </w14:textFill>
    </w:rPr>
  </w:style>
  <w:style w:type="character" w:customStyle="1" w:styleId="19">
    <w:name w:val="标题 1 字符"/>
    <w:basedOn w:val="16"/>
    <w:link w:val="2"/>
    <w:uiPriority w:val="9"/>
    <w:rPr>
      <w:rFonts w:asciiTheme="majorHAnsi" w:hAnsiTheme="majorHAnsi" w:eastAsiaTheme="majorEastAsia" w:cstheme="majorBidi"/>
      <w:color w:val="2E75B6" w:themeColor="accent1" w:themeShade="BF"/>
      <w:sz w:val="48"/>
      <w:szCs w:val="48"/>
    </w:rPr>
  </w:style>
  <w:style w:type="character" w:customStyle="1" w:styleId="20">
    <w:name w:val="标题 2 字符"/>
    <w:basedOn w:val="16"/>
    <w:link w:val="3"/>
    <w:semiHidden/>
    <w:uiPriority w:val="9"/>
    <w:rPr>
      <w:rFonts w:asciiTheme="majorHAnsi" w:hAnsiTheme="majorHAnsi" w:eastAsiaTheme="majorEastAsia" w:cstheme="majorBidi"/>
      <w:color w:val="2E75B6" w:themeColor="accent1" w:themeShade="BF"/>
      <w:sz w:val="40"/>
      <w:szCs w:val="40"/>
    </w:rPr>
  </w:style>
  <w:style w:type="character" w:customStyle="1" w:styleId="21">
    <w:name w:val="标题 3 字符"/>
    <w:basedOn w:val="16"/>
    <w:link w:val="4"/>
    <w:semiHidden/>
    <w:uiPriority w:val="9"/>
    <w:rPr>
      <w:rFonts w:asciiTheme="majorHAnsi" w:hAnsiTheme="majorHAnsi" w:eastAsiaTheme="majorEastAsia" w:cstheme="majorBidi"/>
      <w:color w:val="2E75B6" w:themeColor="accent1" w:themeShade="BF"/>
      <w:sz w:val="32"/>
      <w:szCs w:val="32"/>
    </w:rPr>
  </w:style>
  <w:style w:type="character" w:customStyle="1" w:styleId="22">
    <w:name w:val="标题 4 字符"/>
    <w:basedOn w:val="16"/>
    <w:link w:val="5"/>
    <w:semiHidden/>
    <w:uiPriority w:val="9"/>
    <w:rPr>
      <w:rFonts w:cstheme="majorBidi"/>
      <w:color w:val="2E75B6" w:themeColor="accent1" w:themeShade="BF"/>
      <w:sz w:val="28"/>
      <w:szCs w:val="28"/>
    </w:rPr>
  </w:style>
  <w:style w:type="character" w:customStyle="1" w:styleId="23">
    <w:name w:val="标题 5 字符"/>
    <w:basedOn w:val="16"/>
    <w:link w:val="6"/>
    <w:semiHidden/>
    <w:uiPriority w:val="9"/>
    <w:rPr>
      <w:rFonts w:cstheme="majorBidi"/>
      <w:color w:val="2E75B6" w:themeColor="accent1" w:themeShade="BF"/>
      <w:sz w:val="24"/>
      <w:szCs w:val="24"/>
    </w:rPr>
  </w:style>
  <w:style w:type="character" w:customStyle="1" w:styleId="24">
    <w:name w:val="标题 6 字符"/>
    <w:basedOn w:val="16"/>
    <w:link w:val="7"/>
    <w:semiHidden/>
    <w:uiPriority w:val="9"/>
    <w:rPr>
      <w:rFonts w:cstheme="majorBidi"/>
      <w:b/>
      <w:bCs/>
      <w:color w:val="2E75B6" w:themeColor="accent1" w:themeShade="BF"/>
    </w:rPr>
  </w:style>
  <w:style w:type="character" w:customStyle="1" w:styleId="25">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2E75B6" w:themeColor="accent1" w:themeShade="BF"/>
    </w:rPr>
  </w:style>
  <w:style w:type="paragraph" w:styleId="34">
    <w:name w:val="Intense Quote"/>
    <w:basedOn w:val="1"/>
    <w:next w:val="1"/>
    <w:link w:val="35"/>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5">
    <w:name w:val="明显引用 字符"/>
    <w:basedOn w:val="16"/>
    <w:link w:val="34"/>
    <w:uiPriority w:val="30"/>
    <w:rPr>
      <w:i/>
      <w:iCs/>
      <w:color w:val="2E75B6" w:themeColor="accent1" w:themeShade="BF"/>
    </w:rPr>
  </w:style>
  <w:style w:type="character" w:customStyle="1" w:styleId="36">
    <w:name w:val="Intense Reference"/>
    <w:basedOn w:val="16"/>
    <w:qFormat/>
    <w:uiPriority w:val="32"/>
    <w:rPr>
      <w:b/>
      <w:bCs/>
      <w:smallCaps/>
      <w:color w:val="2E75B6" w:themeColor="accent1" w:themeShade="BF"/>
      <w:spacing w:val="5"/>
    </w:rPr>
  </w:style>
  <w:style w:type="character" w:customStyle="1" w:styleId="37">
    <w:name w:val="页眉 字符"/>
    <w:basedOn w:val="16"/>
    <w:link w:val="12"/>
    <w:uiPriority w:val="99"/>
    <w:rPr>
      <w:sz w:val="18"/>
      <w:szCs w:val="18"/>
    </w:rPr>
  </w:style>
  <w:style w:type="character" w:customStyle="1" w:styleId="38">
    <w:name w:val="页脚 字符"/>
    <w:basedOn w:val="16"/>
    <w:link w:val="11"/>
    <w:uiPriority w:val="99"/>
    <w:rPr>
      <w:sz w:val="18"/>
      <w:szCs w:val="18"/>
    </w:rPr>
  </w:style>
  <w:style w:type="character" w:customStyle="1" w:styleId="39">
    <w:name w:val="Unresolved Mention"/>
    <w:basedOn w:val="1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375A504E-6676-4E2D-BF0D-8C74C454CD2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1399</Words>
  <Characters>7975</Characters>
  <Lines>66</Lines>
  <Paragraphs>18</Paragraphs>
  <TotalTime>304</TotalTime>
  <ScaleCrop>false</ScaleCrop>
  <LinksUpToDate>false</LinksUpToDate>
  <CharactersWithSpaces>9356</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2025-12-12T19:15:00Z</dcterms:created>
  <dc:creator>Siyu Chen</dc:creator>
  <cp:lastModifiedBy>Sylvia</cp:lastModifiedBy>
  <dcterms:modified xsi:type="dcterms:W3CDTF">2026-03-04T11:18:35Z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5673688BE5DE2FD08BA4A7698394395B_42</vt:lpwstr>
  </property>
</Properties>
</file>