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经济事项与会计基础</w:t>
      </w:r>
    </w:p>
    <w:p>
      <w:pPr>
        <w:jc w:val="both"/>
      </w:pPr>
      <w:r>
        <w:t>本章说明经济事项如何转化为财务信息，并系统梳理财务报表、计量基础、会计假设、会计原则与会计要素。</w:t>
      </w:r>
    </w:p>
    <w:p>
      <w:pPr>
        <w:pStyle w:val="Heading1"/>
      </w:pPr>
      <w:r>
        <w:t>会计处理流程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19"/>
        </w:rPr>
        <w:t>识别需要记录的经济事项。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19"/>
        </w:rPr>
        <w:t>以适当的计量基础确定金额。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19"/>
        </w:rPr>
        <w:t>通过账户、分录和财务报表进行沟通。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19"/>
        </w:rPr>
        <w:t>使用信息作出经济决策。</w:t>
      </w:r>
    </w:p>
    <w:p>
      <w:pPr>
        <w:pStyle w:val="Heading1"/>
      </w:pPr>
      <w:r>
        <w:t>财务报表体系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22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报表</w:t>
            </w:r>
          </w:p>
        </w:tc>
        <w:tc>
          <w:tcPr>
            <w:tcW w:type="dxa" w:w="453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回答的问题</w:t>
            </w:r>
          </w:p>
        </w:tc>
        <w:tc>
          <w:tcPr>
            <w:tcW w:type="dxa" w:w="198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时间特征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利润表</w:t>
            </w:r>
          </w:p>
        </w:tc>
        <w:tc>
          <w:tcPr>
            <w:tcW w:type="dxa" w:w="45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企业在一定期间内是否盈利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期间</w:t>
            </w:r>
          </w:p>
        </w:tc>
      </w:tr>
      <w:tr>
        <w:tc>
          <w:tcPr>
            <w:tcW w:type="dxa" w:w="226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资产负债表</w:t>
            </w:r>
          </w:p>
        </w:tc>
        <w:tc>
          <w:tcPr>
            <w:tcW w:type="dxa" w:w="453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期末拥有什么、欠什么以及净权益是多少</w:t>
            </w:r>
          </w:p>
        </w:tc>
        <w:tc>
          <w:tcPr>
            <w:tcW w:type="dxa" w:w="198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时点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所有者权益变动表</w:t>
            </w:r>
          </w:p>
        </w:tc>
        <w:tc>
          <w:tcPr>
            <w:tcW w:type="dxa" w:w="45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股本与留存收益如何变化</w:t>
            </w:r>
          </w:p>
        </w:tc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期间</w:t>
            </w:r>
          </w:p>
        </w:tc>
      </w:tr>
      <w:tr>
        <w:tc>
          <w:tcPr>
            <w:tcW w:type="dxa" w:w="226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现金流量表</w:t>
            </w:r>
          </w:p>
        </w:tc>
        <w:tc>
          <w:tcPr>
            <w:tcW w:type="dxa" w:w="453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现金从哪里来、流向哪里</w:t>
            </w:r>
          </w:p>
        </w:tc>
        <w:tc>
          <w:tcPr>
            <w:tcW w:type="dxa" w:w="198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期间</w:t>
            </w:r>
          </w:p>
        </w:tc>
      </w:tr>
    </w:tbl>
    <w:p>
      <w:pPr>
        <w:pStyle w:val="Heading1"/>
      </w:pPr>
      <w:r>
        <w:t>常用计量基础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</w:trPr>
        <w:tc>
          <w:tcPr>
            <w:tcW w:type="dxa" w:w="22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基础</w:t>
            </w:r>
          </w:p>
        </w:tc>
        <w:tc>
          <w:tcPr>
            <w:tcW w:type="dxa" w:w="652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历史成本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资产最初取得时支付的金额</w:t>
            </w:r>
          </w:p>
        </w:tc>
      </w:tr>
      <w:tr>
        <w:tc>
          <w:tcPr>
            <w:tcW w:type="dxa" w:w="226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公允价值</w:t>
            </w:r>
          </w:p>
        </w:tc>
        <w:tc>
          <w:tcPr>
            <w:tcW w:type="dxa" w:w="652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计量日市场参与者之间有序交易的价格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重置成本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当前取得具有相同服务能力资产所需的金额</w:t>
            </w:r>
          </w:p>
        </w:tc>
      </w:tr>
      <w:tr>
        <w:tc>
          <w:tcPr>
            <w:tcW w:type="dxa" w:w="226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可变现净值</w:t>
            </w:r>
          </w:p>
        </w:tc>
        <w:tc>
          <w:tcPr>
            <w:tcW w:type="dxa" w:w="652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预计售价减去完工与销售成本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账面价值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资产成本减累计折旧或累计摊销及减值</w:t>
            </w:r>
          </w:p>
        </w:tc>
      </w:tr>
      <w:tr>
        <w:tc>
          <w:tcPr>
            <w:tcW w:type="dxa" w:w="226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现值</w:t>
            </w:r>
          </w:p>
        </w:tc>
        <w:tc>
          <w:tcPr>
            <w:tcW w:type="dxa" w:w="652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未来现金流按适当折现率折算到当前的价值</w:t>
            </w:r>
          </w:p>
        </w:tc>
      </w:tr>
    </w:tbl>
    <w:p>
      <w:pPr>
        <w:pStyle w:val="Heading1"/>
      </w:pPr>
      <w:r>
        <w:t>会计假设与原则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</w:trPr>
        <w:tc>
          <w:tcPr>
            <w:tcW w:type="dxa" w:w="22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52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要点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会计主体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企业交易与所有者个人交易相分离</w:t>
            </w:r>
          </w:p>
        </w:tc>
      </w:tr>
      <w:tr>
        <w:tc>
          <w:tcPr>
            <w:tcW w:type="dxa" w:w="226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货币计量</w:t>
            </w:r>
          </w:p>
        </w:tc>
        <w:tc>
          <w:tcPr>
            <w:tcW w:type="dxa" w:w="652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只确认能够以货币可靠计量的事项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权责发生制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按收入赚取和费用发生的期间确认，而非按收付款时点</w:t>
            </w:r>
          </w:p>
        </w:tc>
      </w:tr>
      <w:tr>
        <w:tc>
          <w:tcPr>
            <w:tcW w:type="dxa" w:w="226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持续经营</w:t>
            </w:r>
          </w:p>
        </w:tc>
        <w:tc>
          <w:tcPr>
            <w:tcW w:type="dxa" w:w="652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假设企业在可预见未来继续经营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会计期间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将持续经营过程划分为可报告的期间</w:t>
            </w:r>
          </w:p>
        </w:tc>
      </w:tr>
      <w:tr>
        <w:tc>
          <w:tcPr>
            <w:tcW w:type="dxa" w:w="226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收入确认</w:t>
            </w:r>
          </w:p>
        </w:tc>
        <w:tc>
          <w:tcPr>
            <w:tcW w:type="dxa" w:w="652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在收入已赚取时确认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配比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相关费用与产生收入的期间相匹配</w:t>
            </w:r>
          </w:p>
        </w:tc>
      </w:tr>
      <w:tr>
        <w:tc>
          <w:tcPr>
            <w:tcW w:type="dxa" w:w="226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谨慎性</w:t>
            </w:r>
          </w:p>
        </w:tc>
        <w:tc>
          <w:tcPr>
            <w:tcW w:type="dxa" w:w="652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面对不确定性时避免故意高估资产、收入或财务状况</w:t>
            </w:r>
          </w:p>
        </w:tc>
      </w:tr>
    </w:tbl>
    <w:p>
      <w:pPr>
        <w:pStyle w:val="Heading1"/>
      </w:pPr>
      <w:r>
        <w:t>会计要素与会计等式</w:t>
      </w:r>
    </w:p>
    <w:p>
      <w:pPr>
        <w:jc w:val="both"/>
      </w:pPr>
      <w:r>
        <w:rPr>
          <w:rFonts w:ascii="Microsoft YaHei" w:hAnsi="Microsoft YaHei" w:eastAsia="Microsoft YaHei"/>
          <w:color w:val="000000"/>
          <w:sz w:val="19"/>
        </w:rPr>
        <w:t>资产 = 负债 + 所有者权益；净资产 = 总资产 - 总负债 = 所有者权益。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</w:trPr>
        <w:tc>
          <w:tcPr>
            <w:tcW w:type="dxa" w:w="22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652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定义或关系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资产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由过去事项形成、被企业控制并有潜力产生经济利益的现时经济资源</w:t>
            </w:r>
          </w:p>
        </w:tc>
      </w:tr>
      <w:tr>
        <w:tc>
          <w:tcPr>
            <w:tcW w:type="dxa" w:w="226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负债</w:t>
            </w:r>
          </w:p>
        </w:tc>
        <w:tc>
          <w:tcPr>
            <w:tcW w:type="dxa" w:w="652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由过去事项形成、企业承担转移经济资源义务的现时义务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所有者权益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资产扣除负债后的剩余权益</w:t>
            </w:r>
          </w:p>
        </w:tc>
      </w:tr>
      <w:tr>
        <w:tc>
          <w:tcPr>
            <w:tcW w:type="dxa" w:w="226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收入</w:t>
            </w:r>
          </w:p>
        </w:tc>
        <w:tc>
          <w:tcPr>
            <w:tcW w:type="dxa" w:w="652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导致权益增加且不属于所有者投入的资产增加或负债减少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费用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导致权益减少且不属于向所有者分配的资产减少或负债增加</w:t>
            </w:r>
          </w:p>
        </w:tc>
      </w:tr>
      <w:tr>
        <w:tc>
          <w:tcPr>
            <w:tcW w:type="dxa" w:w="226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利润</w:t>
            </w:r>
          </w:p>
        </w:tc>
        <w:tc>
          <w:tcPr>
            <w:tcW w:type="dxa" w:w="652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收入 - 费用</w:t>
            </w:r>
          </w:p>
        </w:tc>
      </w:tr>
    </w:tbl>
    <w:p>
      <w:pPr>
        <w:jc w:val="both"/>
      </w:pPr>
      <w:r>
        <w:rPr>
          <w:rFonts w:ascii="Microsoft YaHei" w:hAnsi="Microsoft YaHei" w:eastAsia="Microsoft YaHei"/>
          <w:color w:val="000000"/>
          <w:sz w:val="19"/>
        </w:rPr>
        <w:t>复式记账要求每项交易至少影响两个账户，并始终保持会计等式平衡。</w:t>
      </w:r>
    </w:p>
    <w:sectPr w:rsidR="00FC693F" w:rsidRPr="0006063C" w:rsidSect="00034616">
      <w:pgSz w:w="12240" w:h="15840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Microsoft YaHei" w:hAnsi="Microsoft YaHe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