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00000"/>
          <w:sz w:val="40"/>
        </w:rPr>
        <w:t>交易记录与账户变动</w:t>
      </w:r>
    </w:p>
    <w:p>
      <w:pPr>
        <w:jc w:val="both"/>
      </w:pPr>
      <w:r>
        <w:t>本章聚焦交易是否应确认、账户如何分类，以及销售、采购、借款、工资与股东交易对会计等式的影响。</w:t>
      </w:r>
    </w:p>
    <w:p>
      <w:pPr>
        <w:pStyle w:val="Heading1"/>
      </w:pPr>
      <w:r>
        <w:t>确认交易的判断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19"/>
        </w:rPr>
        <w:t>仅有询价、下单但尚未取得商品或服务，通常尚未形成应确认交易。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19"/>
        </w:rPr>
        <w:t>交付商品、提供服务、取得资产、承担义务或发生费用时，应按权责发生制记录。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19"/>
        </w:rPr>
        <w:t>改变报价但未发生交换，不构成会计交易。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19"/>
        </w:rPr>
        <w:t>收到预收款时确认现金和合同负债或未赚取收入；履约后再确认收入。</w:t>
      </w:r>
    </w:p>
    <w:p>
      <w:pPr>
        <w:pStyle w:val="Heading1"/>
      </w:pPr>
      <w:r>
        <w:t>资产与负债分类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198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311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判断</w:t>
            </w:r>
          </w:p>
        </w:tc>
        <w:tc>
          <w:tcPr>
            <w:tcW w:type="dxa" w:w="3685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常见项目</w:t>
            </w:r>
          </w:p>
        </w:tc>
      </w:tr>
      <w:t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流动资产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预计在一个经营周期或一年内变现或耗用</w:t>
            </w:r>
          </w:p>
        </w:tc>
        <w:tc>
          <w:tcPr>
            <w:tcW w:type="dxa" w:w="368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现金、应收账款、存货、预付费用、短期投资</w:t>
            </w:r>
          </w:p>
        </w:tc>
      </w:tr>
      <w:tr>
        <w:tc>
          <w:tcPr>
            <w:tcW w:type="dxa" w:w="1984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非流动资产</w:t>
            </w:r>
          </w:p>
        </w:tc>
        <w:tc>
          <w:tcPr>
            <w:tcW w:type="dxa" w:w="311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使用或持有期通常超过一年</w:t>
            </w:r>
          </w:p>
        </w:tc>
        <w:tc>
          <w:tcPr>
            <w:tcW w:type="dxa" w:w="3685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设备、建筑物、车辆、土地、无形资产</w:t>
            </w:r>
          </w:p>
        </w:tc>
      </w:tr>
      <w:t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流动负债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预计在一年或一个经营周期内清偿</w:t>
            </w:r>
          </w:p>
        </w:tc>
        <w:tc>
          <w:tcPr>
            <w:tcW w:type="dxa" w:w="368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应付账款、应付工资、应交税费、预收款</w:t>
            </w:r>
          </w:p>
        </w:tc>
      </w:tr>
      <w:tr>
        <w:tc>
          <w:tcPr>
            <w:tcW w:type="dxa" w:w="1984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非流动负债</w:t>
            </w:r>
          </w:p>
        </w:tc>
        <w:tc>
          <w:tcPr>
            <w:tcW w:type="dxa" w:w="311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偿还期超过一年</w:t>
            </w:r>
          </w:p>
        </w:tc>
        <w:tc>
          <w:tcPr>
            <w:tcW w:type="dxa" w:w="3685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长期借款、长期应付票据</w:t>
            </w:r>
          </w:p>
        </w:tc>
      </w:tr>
    </w:tbl>
    <w:p>
      <w:pPr>
        <w:pStyle w:val="Heading1"/>
      </w:pPr>
      <w:r>
        <w:t>常见交易循环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/>
        </w:trPr>
        <w:tc>
          <w:tcPr>
            <w:tcW w:type="dxa" w:w="243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交易</w:t>
            </w:r>
          </w:p>
        </w:tc>
        <w:tc>
          <w:tcPr>
            <w:tcW w:type="dxa" w:w="635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主要账户影响</w:t>
            </w:r>
          </w:p>
        </w:tc>
      </w:tr>
      <w:tr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赊销商品或服务</w:t>
            </w:r>
          </w:p>
        </w:tc>
        <w:tc>
          <w:tcPr>
            <w:tcW w:type="dxa" w:w="63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应收账款增加；收入增加。销售商品时还需确认销售成本并减少存货</w:t>
            </w:r>
          </w:p>
        </w:tc>
      </w:tr>
      <w:tr>
        <w:tc>
          <w:tcPr>
            <w:tcW w:type="dxa" w:w="243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收回应收账款</w:t>
            </w:r>
          </w:p>
        </w:tc>
        <w:tc>
          <w:tcPr>
            <w:tcW w:type="dxa" w:w="635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现金增加；应收账款减少</w:t>
            </w:r>
          </w:p>
        </w:tc>
      </w:tr>
      <w:tr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赊购存货或用品</w:t>
            </w:r>
          </w:p>
        </w:tc>
        <w:tc>
          <w:tcPr>
            <w:tcW w:type="dxa" w:w="63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存货或用品增加；应付账款增加</w:t>
            </w:r>
          </w:p>
        </w:tc>
      </w:tr>
      <w:tr>
        <w:tc>
          <w:tcPr>
            <w:tcW w:type="dxa" w:w="243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支付应付账款</w:t>
            </w:r>
          </w:p>
        </w:tc>
        <w:tc>
          <w:tcPr>
            <w:tcW w:type="dxa" w:w="635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现金减少；应付账款减少</w:t>
            </w:r>
          </w:p>
        </w:tc>
      </w:tr>
      <w:tr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取得借款</w:t>
            </w:r>
          </w:p>
        </w:tc>
        <w:tc>
          <w:tcPr>
            <w:tcW w:type="dxa" w:w="63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现金增加；借款增加</w:t>
            </w:r>
          </w:p>
        </w:tc>
      </w:tr>
      <w:tr>
        <w:tc>
          <w:tcPr>
            <w:tcW w:type="dxa" w:w="243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偿还本金与利息</w:t>
            </w:r>
          </w:p>
        </w:tc>
        <w:tc>
          <w:tcPr>
            <w:tcW w:type="dxa" w:w="635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现金减少；借款本金减少；利息部分确认为费用或冲减应付利息</w:t>
            </w:r>
          </w:p>
        </w:tc>
      </w:tr>
      <w:tr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期末计提工资</w:t>
            </w:r>
          </w:p>
        </w:tc>
        <w:tc>
          <w:tcPr>
            <w:tcW w:type="dxa" w:w="63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工资费用增加；应付工资增加</w:t>
            </w:r>
          </w:p>
        </w:tc>
      </w:tr>
      <w:tr>
        <w:tc>
          <w:tcPr>
            <w:tcW w:type="dxa" w:w="243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支付股利</w:t>
            </w:r>
          </w:p>
        </w:tc>
        <w:tc>
          <w:tcPr>
            <w:tcW w:type="dxa" w:w="635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现金减少；留存收益或股利账户减少</w:t>
            </w:r>
          </w:p>
        </w:tc>
      </w:tr>
    </w:tbl>
    <w:p>
      <w:pPr>
        <w:pStyle w:val="Heading1"/>
      </w:pPr>
      <w:r>
        <w:t>期末调整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19"/>
        </w:rPr>
        <w:t>预付费用：支付时先确认为资产，受益期内逐期转为费用。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19"/>
        </w:rPr>
        <w:t>应计费用：费用已发生但尚未支付时，同时确认费用与应付款。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19"/>
        </w:rPr>
        <w:t>未赚取收入：收款时先确认为负债，履约时转为收入。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19"/>
        </w:rPr>
        <w:t>折旧：将长期有形资产的可折旧金额在使用寿命内系统分摊为费用。</w:t>
      </w:r>
    </w:p>
    <w:sectPr w:rsidR="00FC693F" w:rsidRPr="0006063C" w:rsidSect="00034616">
      <w:pgSz w:w="12240" w:h="15840"/>
      <w:pgMar w:top="935" w:right="1134" w:bottom="935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Microsoft YaHei" w:hAnsi="Microsoft YaHei" w:eastAsia="Microsoft YaHei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4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