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内部控制与舞弊</w:t>
      </w:r>
    </w:p>
    <w:p>
      <w:pPr>
        <w:jc w:val="both"/>
      </w:pPr>
      <w:r>
        <w:t>本章说明舞弊风险的成因、内部控制的目标、组成与具体控制活动，并重点掌握职责分离和现金控制。</w:t>
      </w:r>
    </w:p>
    <w:p>
      <w:pPr>
        <w:pStyle w:val="Heading1"/>
      </w:pPr>
      <w:r>
        <w:t>舞弊与舞弊三角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舞弊是个人或组织故意使用欺骗手段取得不公正或非法利益的行为。舞弊风险通常由压力或动机、机会、态度与合理化共同推动。内部控制重点降低可感知的机会。</w:t>
      </w:r>
    </w:p>
    <w:p>
      <w:pPr>
        <w:pStyle w:val="Heading1"/>
      </w:pPr>
      <w:r>
        <w:t>内部控制目标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保护资产并确保其得到适当使用。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保证会计系统正常运行并提高信息可靠性。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促进经营有效与高效。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推动员工遵守政策、程序、法律和监管要求。</w:t>
      </w:r>
    </w:p>
    <w:p>
      <w:pPr>
        <w:pStyle w:val="Heading1"/>
      </w:pPr>
      <w:r>
        <w:t>内部控制组成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6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重点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控制环境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管理层态度、组织文化、治理结构与责任意识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风险评估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识别并分析影响目标实现的风险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控制活动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审批、授权、核对、盘点、职责分离与访问控制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信息与沟通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及时取得并传递可靠信息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监督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持续或定期检查控制是否有效运行</w:t>
            </w:r>
          </w:p>
        </w:tc>
      </w:tr>
    </w:tbl>
    <w:p>
      <w:pPr>
        <w:pStyle w:val="Heading1"/>
      </w:pPr>
      <w:r>
        <w:t>常用控制活动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明确职责并形成书面授权。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使用连续编号、可追踪且完整的单据。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为资产配置适当保险。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将授权、保管、记录与核对职责分配给不同人员。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利用权限、密码、系统校验和日志降低风险。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定期盘点、对账和复核异常交易。</w:t>
      </w:r>
    </w:p>
    <w:p>
      <w:pPr>
        <w:pStyle w:val="Heading1"/>
      </w:pPr>
      <w:r>
        <w:t>现金与采购控制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采购、验收、记录和付款由不同人员负责。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供应商应经过审批；到货应与采购订单和发票核对。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银行账户与账簿由独立人员定期调节，并调查未达项与异常付款。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现金收款使用收银系统、电子支付记录与监控设备，并及时存入银行。</w:t>
      </w:r>
    </w:p>
    <w:p>
      <w:pPr>
        <w:pStyle w:val="Heading1"/>
      </w:pPr>
      <w:r>
        <w:t>控制设计流程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识别目标和关键风险。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设计与风险相匹配的控制。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明确责任并实施控制。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持续监督、测试并修正失效控制。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