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本量利分析</w:t>
      </w:r>
    </w:p>
    <w:p>
      <w:pPr>
        <w:jc w:val="both"/>
      </w:pPr>
      <w:r>
        <w:t>本章用成本、销量和利润之间的关系支持短期经营决策。核心是区分固定成本与变动成本，并用贡献毛利连接销售与利润。</w:t>
      </w:r>
    </w:p>
    <w:p>
      <w:pPr>
        <w:pStyle w:val="Heading1"/>
      </w:pPr>
      <w:r>
        <w:t>成本行为与贡献毛利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总固定成本在相关范围内不随产销量变化。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单位变动成本保持不变，总变动成本随产销量同比例变化。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总成本 = 总固定成本 + 单位变动成本 × 销量。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单位贡献毛利 = 单位售价 - 单位变动成本。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总贡献毛利 = 销售收入 - 总变动成本；净利润 = 总贡献毛利 - 固定成本。</w:t>
      </w:r>
    </w:p>
    <w:p>
      <w:pPr>
        <w:pStyle w:val="Heading1"/>
      </w:pPr>
      <w:r>
        <w:t>单一产品分析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95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公式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贡献毛利率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贡献毛利 ÷ 销售收入</w:t>
            </w:r>
          </w:p>
        </w:tc>
      </w:tr>
      <w:tr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盈亏平衡销量</w:t>
            </w:r>
          </w:p>
        </w:tc>
        <w:tc>
          <w:tcPr>
            <w:tcW w:type="dxa" w:w="5953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固定成本 ÷ 单位贡献毛利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盈亏平衡销售额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固定成本 ÷ 贡献毛利率</w:t>
            </w:r>
          </w:p>
        </w:tc>
      </w:tr>
      <w:tr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税前目标利润销量</w:t>
            </w:r>
          </w:p>
        </w:tc>
        <w:tc>
          <w:tcPr>
            <w:tcW w:type="dxa" w:w="5953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（固定成本 + 税前目标利润）÷ 单位贡献毛利</w:t>
            </w:r>
          </w:p>
        </w:tc>
      </w:tr>
      <w:tr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税后目标利润销量</w:t>
            </w:r>
          </w:p>
        </w:tc>
        <w:tc>
          <w:tcPr>
            <w:tcW w:type="dxa" w:w="59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[固定成本 + 税后目标利润 ÷（1 - 税率）] ÷ 单位贡献毛利</w:t>
            </w:r>
          </w:p>
        </w:tc>
      </w:tr>
    </w:tbl>
    <w:p>
      <w:pPr>
        <w:pStyle w:val="Heading1"/>
      </w:pPr>
      <w:r>
        <w:t>多产品分析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销售组合表示各产品销量在总销量中的权重。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加权平均单位贡献毛利 = 各产品单位贡献毛利 × 各自销售组合后求和。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总盈亏平衡组合单位 = 固定成本 ÷ 加权平均单位贡献毛利。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单项产品盈亏平衡销量 = 总盈亏平衡组合单位 × 该产品销售组合。</w:t>
      </w:r>
    </w:p>
    <w:p>
      <w:pPr>
        <w:pStyle w:val="Heading1"/>
      </w:pPr>
      <w:r>
        <w:t>经营杠杆与敏感性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经营杠杆系数 = 总贡献毛利 ÷ 净利润。固定成本占比越高，销售变化对利润的放大作用通常越强，经营风险也越高。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敏感性分析分别或同时改变售价、销量、单位变动成本和固定成本，重新计算盈亏平衡点与利润，用于检验决策对关键假设的依赖程度。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