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预算与主预算</w:t>
      </w:r>
    </w:p>
    <w:p>
      <w:pPr>
        <w:jc w:val="both"/>
      </w:pPr>
      <w:r>
        <w:t>本章说明预算如何用于计划、协调、控制和评价，并按主预算的逻辑顺序列出运营预算与现金预算公式。</w:t>
      </w:r>
    </w:p>
    <w:p>
      <w:pPr>
        <w:pStyle w:val="Heading1"/>
      </w:pPr>
      <w:r>
        <w:t>预算的作用与局限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作用：沟通经营计划、协调部门、配置资源、发现瓶颈、预测融资需要并设置评价基准。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19"/>
        </w:rPr>
        <w:t>局限：可能缺乏弹性，依赖不确定假设，编制耗时，并可能诱发只追求预算指标的行为。</w:t>
      </w:r>
    </w:p>
    <w:p>
      <w:pPr>
        <w:pStyle w:val="Heading1"/>
      </w:pPr>
      <w:r>
        <w:t>编制方式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268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方式</w:t>
            </w:r>
          </w:p>
        </w:tc>
        <w:tc>
          <w:tcPr>
            <w:tcW w:type="dxa" w:w="6520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自上而下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高层设定目标并向下分解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自下而上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基层和部门参与估计，信息更贴近业务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混合方式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结合战略约束与一线信息</w:t>
            </w:r>
          </w:p>
        </w:tc>
      </w:tr>
      <w:tr>
        <w:tc>
          <w:tcPr>
            <w:tcW w:type="dxa" w:w="2268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零基预算</w:t>
            </w:r>
          </w:p>
        </w:tc>
        <w:tc>
          <w:tcPr>
            <w:tcW w:type="dxa" w:w="6520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每期从零开始，逐项证明收入与支出的合理性</w:t>
            </w:r>
          </w:p>
        </w:tc>
      </w:tr>
      <w:tr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滚动预算</w:t>
            </w:r>
          </w:p>
        </w:tc>
        <w:tc>
          <w:tcPr>
            <w:tcW w:type="dxa" w:w="65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随着期间结束持续补充新的预算期间</w:t>
            </w:r>
          </w:p>
        </w:tc>
      </w:tr>
    </w:tbl>
    <w:p>
      <w:pPr>
        <w:pStyle w:val="Heading1"/>
      </w:pPr>
      <w:r>
        <w:t>主预算顺序与公式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/>
        </w:trPr>
        <w:tc>
          <w:tcPr>
            <w:tcW w:type="dxa" w:w="2381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预算</w:t>
            </w:r>
          </w:p>
        </w:tc>
        <w:tc>
          <w:tcPr>
            <w:tcW w:type="dxa" w:w="6406"/>
            <w:shd w:fill="1F4E7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核心公式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销售预算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预计销量 × 预算售价</w:t>
            </w:r>
          </w:p>
        </w:tc>
      </w:tr>
      <w:tr>
        <w:tc>
          <w:tcPr>
            <w:tcW w:type="dxa" w:w="238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生产预算</w:t>
            </w:r>
          </w:p>
        </w:tc>
        <w:tc>
          <w:tcPr>
            <w:tcW w:type="dxa" w:w="640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预算销量 + 预算期末产成品 - 期初产成品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直接材料预算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生产需用材料 + 期末材料 - 期初材料；采购成本 = 采购量 × 材料单价</w:t>
            </w:r>
          </w:p>
        </w:tc>
      </w:tr>
      <w:tr>
        <w:tc>
          <w:tcPr>
            <w:tcW w:type="dxa" w:w="238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直接人工预算</w:t>
            </w:r>
          </w:p>
        </w:tc>
        <w:tc>
          <w:tcPr>
            <w:tcW w:type="dxa" w:w="640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生产量 × 单位工时 × 小时工资率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制造费用预算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变动制造费用率 × 生产量 + 固定制造费用</w:t>
            </w:r>
          </w:p>
        </w:tc>
      </w:tr>
      <w:tr>
        <w:tc>
          <w:tcPr>
            <w:tcW w:type="dxa" w:w="238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销售及管理费用预算</w:t>
            </w:r>
          </w:p>
        </w:tc>
        <w:tc>
          <w:tcPr>
            <w:tcW w:type="dxa" w:w="640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单位变动销售管理费 × 销量 + 固定销售管理费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商品采购预算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预算销量 + 期末商品存货 - 期初商品存货</w:t>
            </w:r>
          </w:p>
        </w:tc>
      </w:tr>
      <w:tr>
        <w:tc>
          <w:tcPr>
            <w:tcW w:type="dxa" w:w="238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现金收入预算</w:t>
            </w:r>
          </w:p>
        </w:tc>
        <w:tc>
          <w:tcPr>
            <w:tcW w:type="dxa" w:w="640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各期销售额 × 各期收现比例</w:t>
            </w:r>
          </w:p>
        </w:tc>
      </w:tr>
      <w:tr>
        <w:tc>
          <w:tcPr>
            <w:tcW w:type="dxa" w:w="238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现金支出预算</w:t>
            </w:r>
          </w:p>
        </w:tc>
        <w:tc>
          <w:tcPr>
            <w:tcW w:type="dxa" w:w="6406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各项采购或费用 × 各期付款比例</w:t>
            </w:r>
          </w:p>
        </w:tc>
      </w:tr>
      <w:tr>
        <w:tc>
          <w:tcPr>
            <w:tcW w:type="dxa" w:w="2381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现金预算</w:t>
            </w:r>
          </w:p>
        </w:tc>
        <w:tc>
          <w:tcPr>
            <w:tcW w:type="dxa" w:w="6406"/>
            <w:shd w:fill="F2F6F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期初现金 + 现金收入 - 现金支出 = 期末现金</w:t>
            </w:r>
          </w:p>
        </w:tc>
      </w:tr>
    </w:tbl>
    <w:p>
      <w:pPr>
        <w:jc w:val="both"/>
      </w:pPr>
      <w:r>
        <w:rPr>
          <w:rFonts w:ascii="Microsoft YaHei" w:hAnsi="Microsoft YaHei" w:eastAsia="Microsoft YaHei"/>
          <w:color w:val="000000"/>
          <w:sz w:val="19"/>
        </w:rPr>
        <w:t>连续期间中，本期期末存货通常等于下一期期初存货。制造企业从销售预算推导生产预算，再推导材料、人工和制造费用预算；现金预算综合各项收付款时点。</w:t>
      </w:r>
    </w:p>
    <w:sectPr w:rsidR="00FC693F" w:rsidRPr="0006063C" w:rsidSect="00034616">
      <w:pgSz w:w="12240" w:h="15840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