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弹性预算与差异分析</w:t>
      </w:r>
    </w:p>
    <w:p>
      <w:pPr>
        <w:jc w:val="both"/>
      </w:pPr>
      <w:r>
        <w:t>本章说明如何把实际结果与适合实际业务量的预算进行比较，并判断差异的有利性、原因与管理含义。</w:t>
      </w:r>
    </w:p>
    <w:p>
      <w:pPr>
        <w:pStyle w:val="Heading1"/>
      </w:pPr>
      <w:r>
        <w:t>静态预算与弹性预算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预算</w:t>
            </w:r>
          </w:p>
        </w:tc>
        <w:tc>
          <w:tcPr>
            <w:tcW w:type="dxa" w:w="368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静态预算</w:t>
            </w:r>
          </w:p>
        </w:tc>
        <w:tc>
          <w:tcPr>
            <w:tcW w:type="dxa" w:w="368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按原计划业务量编制，期后不随实际产销量调整</w:t>
            </w:r>
          </w:p>
        </w:tc>
        <w:tc>
          <w:tcPr>
            <w:tcW w:type="dxa" w:w="283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展示原始计划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弹性预算</w:t>
            </w:r>
          </w:p>
        </w:tc>
        <w:tc>
          <w:tcPr>
            <w:tcW w:type="dxa" w:w="368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保持售价、单位变动成本和固定成本假设，按实际业务量重新计算</w:t>
            </w:r>
          </w:p>
        </w:tc>
        <w:tc>
          <w:tcPr>
            <w:tcW w:type="dxa" w:w="2835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与实际结果作可比分析</w:t>
            </w:r>
          </w:p>
        </w:tc>
      </w:tr>
    </w:tbl>
    <w:p>
      <w:pPr>
        <w:pStyle w:val="Heading1"/>
      </w:pPr>
      <w:r>
        <w:t>差异计算与标记</w:t>
      </w:r>
    </w:p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弹性预算差异 = 实际结果 - 弹性预算。收入高于预算通常为有利差异；费用低于预算通常为有利差异。判断有利或不利必须考虑该差异对利润的影响，而不能只看正负号。</w:t>
      </w:r>
    </w:p>
    <w:p>
      <w:pPr>
        <w:pStyle w:val="Heading1"/>
      </w:pPr>
      <w:r>
        <w:t>分析步骤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按实际业务量编制弹性预算。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逐项计算实际与弹性预算的差异。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标记有利或不利并按金额或风险筛选重点项目。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调查价格、数量、效率、质量、市场和一次性事项等原因。</w:t>
      </w:r>
    </w:p>
    <w:p>
      <w:pPr>
        <w:pStyle w:val="ListNumber"/>
      </w:pPr>
      <w:r>
        <w:rPr>
          <w:rFonts w:ascii="Microsoft YaHei" w:hAnsi="Microsoft YaHei" w:eastAsia="Microsoft YaHei"/>
          <w:color w:val="000000"/>
          <w:sz w:val="19"/>
        </w:rPr>
        <w:t>确定责任边界与改进措施，并持续跟踪。</w:t>
      </w:r>
    </w:p>
    <w:p>
      <w:pPr>
        <w:pStyle w:val="Heading1"/>
      </w:pPr>
      <w:r>
        <w:t>管理边界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重大有利差异同样需要解释，因为可能来自延期支出、质量下降或估计错误。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差异报告应设置合理阈值，避免在不重要项目上消耗管理资源。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将奖金机械绑定销售目标，可能诱发过度折扣、忽视客户满意度或提前确认收入。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