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40"/>
        </w:rPr>
        <w:t>相关成本与短期决策</w:t>
      </w:r>
    </w:p>
    <w:p>
      <w:pPr>
        <w:jc w:val="both"/>
      </w:pPr>
      <w:r>
        <w:t>本章用相关成本识别不同方案之间会发生变化的未来现金流，并将定量结果与产能、质量、客户和战略等定性因素结合。</w:t>
      </w:r>
    </w:p>
    <w:p>
      <w:pPr>
        <w:pStyle w:val="Heading1"/>
      </w:pPr>
      <w:r>
        <w:t>相关性判断</w:t>
      </w:r>
    </w:p>
    <w:tbl>
      <w:tblPr>
        <w:tblW w:type="auto" w:w="0"/>
        <w:tblLayout w:type="fixed"/>
        <w:tblLook w:firstColumn="1" w:firstRow="1" w:lastColumn="0" w:lastRow="0" w:noHBand="0" w:noVBand="1" w:val="04A0"/>
      </w:tblPr>
      <w:tblGrid>
        <w:gridCol w:w="3324"/>
        <w:gridCol w:w="3324"/>
        <w:gridCol w:w="3324"/>
      </w:tblGrid>
      <w:tr>
        <w:trPr>
          <w:tblHeader/>
        </w:trPr>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b/>
                <w:color w:val="FFFFFF"/>
                <w:sz w:val="17"/>
              </w:rPr>
              <w:t>项目</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b/>
                <w:color w:val="FFFFFF"/>
                <w:sz w:val="17"/>
              </w:rPr>
              <w:t>是否相关</w:t>
            </w:r>
          </w:p>
        </w:tc>
        <w:tc>
          <w:tcPr>
            <w:tcW w:type="dxa" w:w="425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b/>
                <w:color w:val="FFFFFF"/>
                <w:sz w:val="17"/>
              </w:rPr>
              <w:t>理由</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未来差异成本或收入</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相关</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会因方案选择而改变</w:t>
            </w:r>
          </w:p>
        </w:tc>
      </w:tr>
      <w:tr>
        <w:tc>
          <w:tcPr>
            <w:tcW w:type="dxa" w:w="2835"/>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沉没成本</w:t>
            </w:r>
          </w:p>
        </w:tc>
        <w:tc>
          <w:tcPr>
            <w:tcW w:type="dxa" w:w="1701"/>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不相关</w:t>
            </w:r>
          </w:p>
        </w:tc>
        <w:tc>
          <w:tcPr>
            <w:tcW w:type="dxa" w:w="4252"/>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已经发生，任何方案都无法改变</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各方案相同的未来成本</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不相关</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不会影响方案间的增量结果</w:t>
            </w:r>
          </w:p>
        </w:tc>
      </w:tr>
      <w:tr>
        <w:tc>
          <w:tcPr>
            <w:tcW w:type="dxa" w:w="2835"/>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机会成本</w:t>
            </w:r>
          </w:p>
        </w:tc>
        <w:tc>
          <w:tcPr>
            <w:tcW w:type="dxa" w:w="1701"/>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相关</w:t>
            </w:r>
          </w:p>
        </w:tc>
        <w:tc>
          <w:tcPr>
            <w:tcW w:type="dxa" w:w="4252"/>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选择一项方案而放弃的最佳替代收益</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可避免固定成本</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通常相关</w:t>
            </w:r>
          </w:p>
        </w:tc>
        <w:tc>
          <w:tcPr>
            <w:tcW w:type="dxa" w:w="425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选择方案后可节省</w:t>
            </w:r>
          </w:p>
        </w:tc>
      </w:tr>
      <w:tr>
        <w:tc>
          <w:tcPr>
            <w:tcW w:type="dxa" w:w="2835"/>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不可避免固定成本</w:t>
            </w:r>
          </w:p>
        </w:tc>
        <w:tc>
          <w:tcPr>
            <w:tcW w:type="dxa" w:w="1701"/>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通常不相关</w:t>
            </w:r>
          </w:p>
        </w:tc>
        <w:tc>
          <w:tcPr>
            <w:tcW w:type="dxa" w:w="4252"/>
            <w:shd w:fill="F2F6FA"/>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Microsoft YaHei" w:hAnsi="Microsoft YaHei" w:eastAsia="Microsoft YaHei"/>
                <w:color w:val="000000"/>
                <w:sz w:val="17"/>
              </w:rPr>
              <w:t>无论选择哪种方案都会发生</w:t>
            </w:r>
          </w:p>
        </w:tc>
      </w:tr>
    </w:tbl>
    <w:p>
      <w:pPr>
        <w:pStyle w:val="Heading1"/>
      </w:pPr>
      <w:r>
        <w:t>特殊订单</w:t>
      </w:r>
    </w:p>
    <w:p>
      <w:pPr>
        <w:pStyle w:val="ListBullet"/>
      </w:pPr>
      <w:r>
        <w:rPr>
          <w:rFonts w:ascii="Microsoft YaHei" w:hAnsi="Microsoft YaHei" w:eastAsia="Microsoft YaHei"/>
          <w:color w:val="000000"/>
          <w:sz w:val="19"/>
        </w:rPr>
        <w:t>存在闲置产能时，比较特殊订单增量收入与增量变动成本、专属固定成本。</w:t>
      </w:r>
    </w:p>
    <w:p>
      <w:pPr>
        <w:pStyle w:val="ListBullet"/>
      </w:pPr>
      <w:r>
        <w:rPr>
          <w:rFonts w:ascii="Microsoft YaHei" w:hAnsi="Microsoft YaHei" w:eastAsia="Microsoft YaHei"/>
          <w:color w:val="000000"/>
          <w:sz w:val="19"/>
        </w:rPr>
        <w:t>若挤占正常销售，还应计入放弃正常销售的机会成本。</w:t>
      </w:r>
    </w:p>
    <w:p>
      <w:pPr>
        <w:pStyle w:val="ListBullet"/>
      </w:pPr>
      <w:r>
        <w:rPr>
          <w:rFonts w:ascii="Microsoft YaHei" w:hAnsi="Microsoft YaHei" w:eastAsia="Microsoft YaHei"/>
          <w:color w:val="000000"/>
          <w:sz w:val="19"/>
        </w:rPr>
        <w:t>同时考虑价格外泄、客户关系、质量、品牌和长期市场影响。</w:t>
      </w:r>
    </w:p>
    <w:p>
      <w:pPr>
        <w:pStyle w:val="Heading1"/>
      </w:pPr>
      <w:r>
        <w:t>自制或外购</w:t>
      </w:r>
    </w:p>
    <w:p>
      <w:pPr>
        <w:jc w:val="both"/>
      </w:pPr>
      <w:r>
        <w:rPr>
          <w:rFonts w:ascii="Microsoft YaHei" w:hAnsi="Microsoft YaHei" w:eastAsia="Microsoft YaHei"/>
          <w:color w:val="000000"/>
          <w:sz w:val="19"/>
        </w:rPr>
        <w:t>比较可避免的自制成本、外购价格和释放产能的机会收益。已分摊但不可避免的固定制造费用不应成为外购决策的理由。还需考虑供应稳定性、质量、交付、技术与保密。</w:t>
      </w:r>
    </w:p>
    <w:p>
      <w:pPr>
        <w:pStyle w:val="Heading1"/>
      </w:pPr>
      <w:r>
        <w:t>保留或停止产品线</w:t>
      </w:r>
    </w:p>
    <w:p>
      <w:pPr>
        <w:jc w:val="both"/>
      </w:pPr>
      <w:r>
        <w:rPr>
          <w:rFonts w:ascii="Microsoft YaHei" w:hAnsi="Microsoft YaHei" w:eastAsia="Microsoft YaHei"/>
          <w:color w:val="000000"/>
          <w:sz w:val="19"/>
        </w:rPr>
        <w:t>停止产品线会损失其贡献毛利，但可能节省可避免固定成本。只有当可避免固定成本和其他相关收益大于被放弃的贡献毛利及机会成本时，停止方案才改善利润。</w:t>
      </w:r>
    </w:p>
    <w:p>
      <w:pPr>
        <w:pStyle w:val="Heading1"/>
      </w:pPr>
      <w:r>
        <w:t>资源约束</w:t>
      </w:r>
    </w:p>
    <w:p>
      <w:pPr>
        <w:jc w:val="both"/>
      </w:pPr>
      <w:r>
        <w:rPr>
          <w:rFonts w:ascii="Microsoft YaHei" w:hAnsi="Microsoft YaHei" w:eastAsia="Microsoft YaHei"/>
          <w:color w:val="000000"/>
          <w:sz w:val="19"/>
        </w:rPr>
        <w:t>在单一稀缺资源约束下，应按每单位稀缺资源贡献毛利排序：单位稀缺资源贡献毛利 = 单位贡献毛利 ÷ 每单位产品消耗的稀缺资源数量。</w:t>
      </w:r>
    </w:p>
    <w:sectPr w:rsidR="00FC693F" w:rsidRPr="0006063C" w:rsidSect="00034616">
      <w:pgSz w:w="12240" w:h="15840"/>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