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0"/>
        </w:rPr>
        <w:t>职业操守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本章涵盖守法、独立客观、禁止虚假陈述、职业不当行为与专业胜任。判断时应先识别适用规则，再评估行为是否损害专业判断、市场信任或职业声誉。</w:t>
      </w:r>
    </w:p>
    <w:p>
      <w:pPr>
        <w:pStyle w:val="Heading1"/>
      </w:pPr>
      <w:r>
        <w:t>标准结构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条款</w:t>
            </w:r>
          </w:p>
        </w:tc>
        <w:tc>
          <w:tcPr>
            <w:tcW w:type="dxa" w:w="39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常见风险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I(A) 守法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理解并遵守适用法律、监管规则及职业准则；冲突时遵循更严格要求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明知违规仍参与、协助或未与违规活动脱离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I(B) 独立与客观</w:t>
            </w:r>
          </w:p>
        </w:tc>
        <w:tc>
          <w:tcPr>
            <w:tcW w:type="dxa" w:w="3969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以合理谨慎和判断维护专业独立性</w:t>
            </w:r>
          </w:p>
        </w:tc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礼物、差旅、发行人压力、薪酬结构影响判断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I(C) 虚假陈述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不得故意作出错误、遗漏事实或具有误导性的陈述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夸大资格和业绩、遗漏付费关系、抄袭、收益保证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I(D) 不当行为</w:t>
            </w:r>
          </w:p>
        </w:tc>
        <w:tc>
          <w:tcPr>
            <w:tcW w:type="dxa" w:w="3969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不得实施涉及不诚实、欺诈、欺骗或损害职业声誉与胜任能力的行为</w:t>
            </w:r>
          </w:p>
        </w:tc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工作期间醉酒、欺骗、盗窃或严重失职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I(E) 专业胜任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持续保持履行专业职责所需的知识与技能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依赖过时知识、承担超出能力且未获得支持的任务</w:t>
            </w:r>
          </w:p>
        </w:tc>
      </w:tr>
    </w:tbl>
    <w:p>
      <w:pPr>
        <w:pStyle w:val="Heading1"/>
      </w:pPr>
      <w:r>
        <w:t>守法与脱离流程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确认适用法律、监管规则、合同义务及职业准则。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存在冲突时采用更严格的要求。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发现已知违规后向主管或合规部门报告，并在必要时寻求独立法律意见。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违规未纠正时停止参与、撤回成果或离开相关业务；是否外部报告取决于适用法律。</w:t>
      </w:r>
    </w:p>
    <w:p>
      <w:pPr>
        <w:pStyle w:val="Heading1"/>
      </w:pPr>
      <w:r>
        <w:t>保持独立与客观的控制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将研究质量而非业务获取量作为分析师主要绩效依据。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设置限制名单并要求 IPO 等敏感投资事前审批。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原则上自行承担普通差旅与住宿费用；发行人安排仅在不影响判断时可接受。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限制高价值礼物，建立独立汇报和复核机制，由高级人员监督合规。</w:t>
      </w:r>
    </w:p>
    <w:p>
      <w:pPr>
        <w:pStyle w:val="Heading1"/>
      </w:pPr>
      <w:r>
        <w:t>虚假陈述的识别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虚假陈述既包括直接错误，也包括遗漏足以改变整体印象的重要事实。专业人士应核验第三方资料、及时维护网站信息、准确描述资格与服务，并对他人的思想、模型和文字作恰当归属。公司内部团队成果在授权范围内使用通常不构成抄袭。</w:t>
      </w:r>
    </w:p>
    <w:p>
      <w:pPr>
        <w:pStyle w:val="Heading1"/>
      </w:pPr>
      <w:r>
        <w:t>判断边界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并非所有私人不当行为都自动违反职业准则；关键是其是否反映出诚信、声誉或胜任能力问题。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接受合理安排不必然损害独立性，应结合价值、必要性、惯例及实际影响判断。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专业胜任要求持续学习、咨询专家并理解产品、市场和法律环境的变化。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