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  <w:color w:val="000000"/>
          <w:sz w:val="40"/>
        </w:rPr>
        <w:t>资本市场诚信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本章围绕重要非公开信息与市场操纵展开。核心目标是防止信息优势和虚假市场信号破坏公平交易、价格发现、流动性及投资者信任。</w:t>
      </w:r>
    </w:p>
    <w:p>
      <w:pPr>
        <w:pStyle w:val="Heading1"/>
      </w:pPr>
      <w:r>
        <w:t>重要非公开信息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判断维度</w:t>
            </w:r>
          </w:p>
        </w:tc>
        <w:tc>
          <w:tcPr>
            <w:tcW w:type="dxa" w:w="45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判定标准</w:t>
            </w:r>
          </w:p>
        </w:tc>
        <w:tc>
          <w:tcPr>
            <w:tcW w:type="dxa" w:w="243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重要性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理性投资者可能认为该信息会显著影响投资价值或决策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盈利变化、并购、破产、重大合同或知名分析师的重大观点变化</w:t>
            </w:r>
          </w:p>
        </w:tc>
      </w:tr>
      <w:tr>
        <w:tc>
          <w:tcPr>
            <w:tcW w:type="dxa" w:w="181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非公开性</w:t>
            </w:r>
          </w:p>
        </w:tc>
        <w:tc>
          <w:tcPr>
            <w:tcW w:type="dxa" w:w="45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尚未通过可被一般市场参与者获得的渠道广泛传播</w:t>
            </w:r>
          </w:p>
        </w:tc>
        <w:tc>
          <w:tcPr>
            <w:tcW w:type="dxa" w:w="243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封闭会议、小范围群组、保密数据或专家泄露信息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禁止行为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持有重要非公开信息时不得交易，也不得促使或告知他人据此交易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本人下单、向经纪人或亲友泄露后促成交易</w:t>
            </w:r>
          </w:p>
        </w:tc>
      </w:tr>
    </w:tbl>
    <w:p>
      <w:pPr>
        <w:pStyle w:val="Heading1"/>
      </w:pPr>
      <w:r>
        <w:t>马赛克理论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分析师可以把公开的重要或不重要信息，与合法获得的非重要非公开信息综合分析并形成结论。结论即使具有市场价值，只要没有使用重要非公开信息，也不构成违规。</w:t>
      </w:r>
    </w:p>
    <w:p>
      <w:pPr>
        <w:pStyle w:val="Heading1"/>
      </w:pPr>
      <w:r>
        <w:t>信息来源与合规措施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社交媒体群组存在准入限制时，应确认信息是否也可从公司公告、网页或新闻稿等公开渠道取得。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聘用行业专家不免除核验责任；专家一旦提供重要非公开信息，应在公开前停止相关投资行动。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企业可通过新闻稿实现公平传播，并建立信息隔离墙、部门物理隔离、岗位不重叠和正式跨部门沟通程序。</w:t>
      </w:r>
    </w:p>
    <w:p>
      <w:pPr>
        <w:pStyle w:val="Heading1"/>
      </w:pPr>
      <w:r>
        <w:t>市场操纵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7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68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23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表现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信息型操纵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传播虚假或误导性信息以影响判断</w:t>
            </w:r>
          </w:p>
        </w:tc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散布虚假消息、制造不存在的业务或需求</w:t>
            </w:r>
          </w:p>
        </w:tc>
      </w:tr>
      <w:tr>
        <w:tc>
          <w:tcPr>
            <w:tcW w:type="dxa" w:w="187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交易型操纵</w:t>
            </w:r>
          </w:p>
        </w:tc>
        <w:tc>
          <w:tcPr>
            <w:tcW w:type="dxa" w:w="368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通过交易扭曲价格形成机制或虚增成交量</w:t>
            </w:r>
          </w:p>
        </w:tc>
        <w:tc>
          <w:tcPr>
            <w:tcW w:type="dxa" w:w="323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对倒、分散账户制造活跃度、以交易序列营造流动性</w:t>
            </w:r>
          </w:p>
        </w:tc>
      </w:tr>
    </w:tbl>
    <w:p>
      <w:pPr>
        <w:jc w:val="both"/>
      </w:pPr>
      <w:r>
        <w:rPr>
          <w:rFonts w:ascii="Arial" w:hAnsi="Arial" w:eastAsia="Microsoft YaHei"/>
          <w:color w:val="000000"/>
          <w:sz w:val="19"/>
        </w:rPr>
        <w:t>判断市场操纵通常同时关注客观效果与误导意图。正常交易产生价格影响并不当然构成操纵；人为制造错误信号并意图欺骗市场参与者才是关键。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