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对客户的责任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本章系统梳理忠诚、审慎、公平、适当性、业绩呈现与保密义务。判断起点是识别真正的客户，再按授权范围把客户利益置于雇主和个人利益之前。</w:t>
      </w:r>
    </w:p>
    <w:p>
      <w:pPr>
        <w:pStyle w:val="Heading1"/>
      </w:pPr>
      <w:r>
        <w:t>标准结构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判断重点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III(A) 忠诚、审慎与关怀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为客户利益行事并作出审慎判断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识别受益人、组合目标、最佳执行、软佣金与代理投票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III(B) 公平交易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在研究、建议、交易及其他专业活动中公平客观地对待客户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公平不等于完全相同；客户应获得合理平等机会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III(C) 适当性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了解并定期更新客户情况，在整体组合中判断适配性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经验、风险收益目标、财务约束、书面授权与组合情境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III(D) 业绩呈现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采取合理努力确保业绩公平、准确、完整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完整期间、相似组合加权、充分披露、保存计算记录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III(E) 保密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保护现有、潜在和以往客户信息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违法行为、法律要求、客户许可及职业调查构成主要例外</w:t>
            </w:r>
          </w:p>
        </w:tc>
      </w:tr>
    </w:tbl>
    <w:p>
      <w:pPr>
        <w:pStyle w:val="Heading1"/>
      </w:pPr>
      <w:r>
        <w:t>客户识别与受托责任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养老金、基金或信托安排中，实际客户通常是计划参与者和受益人，而非管理层或发起企业。受托人应根据长期利益、授权和整体组合判断，不得为了银行关系、自身职位或短期机会牺牲受益人利益。</w:t>
      </w:r>
    </w:p>
    <w:p>
      <w:pPr>
        <w:pStyle w:val="Heading1"/>
      </w:pPr>
      <w:r>
        <w:t>执行要点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软佣金必须为账户受益人提供相称利益，并在既定目标和限制内追求最佳执行。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超额认购时应按公平、预先设定的方法分配，专业人士及其具有实益所有权的账户不得优先。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适当性评估应在建立建议关系前完成，并随客户年龄、财富、目标和约束变化及时更新。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业绩材料应涵盖相关账户和期间，不得只展示表现最佳的账户或阶段；不得暗示未来收益保证。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电子信息同样受保密义务约束，客户关系结束后义务仍持续。</w:t>
      </w:r>
    </w:p>
    <w:p>
      <w:pPr>
        <w:pStyle w:val="Heading1"/>
      </w:pPr>
      <w:r>
        <w:t>常见区分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95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核心区别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公平交易与适当性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公平交易关注客户之间的对待；适当性关注某项建议是否适合特定客户及其整体组合</w:t>
            </w:r>
          </w:p>
        </w:tc>
      </w:tr>
      <w:tr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虚假陈述与业绩呈现</w:t>
            </w:r>
          </w:p>
        </w:tc>
        <w:tc>
          <w:tcPr>
            <w:tcW w:type="dxa" w:w="5953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前者适用于各种专业沟通；后者专门要求投资业绩信息公平、准确和完整</w:t>
            </w:r>
          </w:p>
        </w:tc>
      </w:tr>
    </w:tbl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