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  <w:color w:val="000000"/>
          <w:sz w:val="40"/>
        </w:rPr>
        <w:t>对雇主的责任</w:t>
      </w:r>
    </w:p>
    <w:p>
      <w:pPr>
        <w:jc w:val="both"/>
      </w:pPr>
      <w:r>
        <w:rPr>
          <w:rFonts w:ascii="Arial" w:hAnsi="Arial" w:eastAsia="Microsoft YaHei"/>
          <w:color w:val="000000"/>
          <w:sz w:val="19"/>
        </w:rPr>
        <w:t>本章涵盖忠诚、额外报酬安排与监督责任。客户利益通常优先于雇主利益，但专业人士仍不得盗用雇主资产、泄露机密、提前招揽客户或绕过合规体系。</w:t>
      </w:r>
    </w:p>
    <w:p>
      <w:pPr>
        <w:pStyle w:val="Heading1"/>
      </w:pPr>
      <w:r>
        <w:t>标准结构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198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条款</w:t>
            </w:r>
          </w:p>
        </w:tc>
        <w:tc>
          <w:tcPr>
            <w:tcW w:type="dxa" w:w="3969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核心要求</w:t>
            </w:r>
          </w:p>
        </w:tc>
        <w:tc>
          <w:tcPr>
            <w:tcW w:type="dxa" w:w="283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7"/>
              </w:rPr>
              <w:t>典型场景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IV(A) 忠诚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在雇佣相关事项上为雇主利益行事，不剥夺其技能优势、不泄密或造成损害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兼职、离职、社交媒体账户、商业机会、举报</w:t>
            </w:r>
          </w:p>
        </w:tc>
      </w:tr>
      <w:tr>
        <w:tc>
          <w:tcPr>
            <w:tcW w:type="dxa" w:w="1984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IV(B) 额外报酬</w:t>
            </w:r>
          </w:p>
        </w:tc>
        <w:tc>
          <w:tcPr>
            <w:tcW w:type="dxa" w:w="3969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接受可能与雇主利益冲突的补偿前，取得所有相关方书面同意</w:t>
            </w:r>
          </w:p>
        </w:tc>
        <w:tc>
          <w:tcPr>
            <w:tcW w:type="dxa" w:w="283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客户奖金、礼物、绩效旅行或其他或有利益</w:t>
            </w:r>
          </w:p>
        </w:tc>
      </w:tr>
      <w:tr>
        <w:tc>
          <w:tcPr>
            <w:tcW w:type="dxa" w:w="198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IV(C) 监督责任</w:t>
            </w:r>
          </w:p>
        </w:tc>
        <w:tc>
          <w:tcPr>
            <w:tcW w:type="dxa" w:w="396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color w:val="000000"/>
                <w:sz w:val="17"/>
              </w:rPr>
              <w:t>合理确保受监督人员遵守法律、规则及职业准则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color w:val="000000"/>
                <w:sz w:val="17"/>
              </w:rPr>
              <w:t>制度设计、培训、监测、调查和纠正</w:t>
            </w:r>
          </w:p>
        </w:tc>
      </w:tr>
    </w:tbl>
    <w:p>
      <w:pPr>
        <w:pStyle w:val="Heading1"/>
      </w:pPr>
      <w:r>
        <w:t>兼职与离职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在职期间从事独立业务前，应说明服务性质和安排条款并取得雇主同意。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辞职生效前仍负忠诚义务，不得提前招揽客户、盗用商业秘密、挪用机会或复制客户名单。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离职后可使用一般经验和知识，但雇主记录及为雇主完成的工作属于雇主，除非另有许可。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个人与职业社交媒体账户应分开，并按公司政策移交或删除官方账户权限。</w:t>
      </w:r>
    </w:p>
    <w:p>
      <w:pPr>
        <w:pStyle w:val="ListBullet"/>
      </w:pPr>
      <w:r>
        <w:rPr>
          <w:rFonts w:ascii="Arial" w:hAnsi="Arial" w:eastAsia="Microsoft YaHei"/>
          <w:color w:val="000000"/>
          <w:sz w:val="19"/>
        </w:rPr>
        <w:t>仅当雇主涉及违法或不道德活动时，善意举报可能正当优先于雇主利益。</w:t>
      </w:r>
    </w:p>
    <w:p>
      <w:pPr>
        <w:pStyle w:val="Heading1"/>
      </w:pPr>
      <w:r>
        <w:t>额外补偿的书面披露</w:t>
      </w:r>
    </w:p>
    <w:p>
      <w:pPr>
        <w:jc w:val="both"/>
      </w:pPr>
      <w:r>
        <w:rPr>
          <w:rFonts w:ascii="Arial" w:hAnsi="Arial" w:eastAsia="Microsoft YaHei"/>
          <w:color w:val="000000"/>
          <w:sz w:val="19"/>
        </w:rPr>
        <w:t>书面报告应在接受补偿前提交，说明补偿性质、预计金额、持续期间及触发条件，并由提供补偿的一方确认。口头告知或事后补报通常不足以满足要求。</w:t>
      </w:r>
    </w:p>
    <w:p>
      <w:pPr>
        <w:pStyle w:val="Heading1"/>
      </w:pPr>
      <w:r>
        <w:t>有效监督体系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识别容易发生违规的业务、人员和激励结构。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建立符合行业、监管、职业准则和企业实际情况的书面程序。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向相关人员沟通规则并持续开展伦理与合规培训。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监测交易和沟通，主动发现异常而非仅被动等待投诉。</w:t>
      </w:r>
    </w:p>
    <w:p>
      <w:pPr>
        <w:pStyle w:val="ListNumber"/>
      </w:pPr>
      <w:r>
        <w:rPr>
          <w:rFonts w:ascii="Arial" w:hAnsi="Arial" w:eastAsia="Microsoft YaHei"/>
          <w:color w:val="000000"/>
          <w:sz w:val="19"/>
        </w:rPr>
        <w:t>调查潜在违规、采取纠正措施并定期检验控制有效性。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Arial" w:hAnsi="Arial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