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  <w:b/>
          <w:color w:val="000000"/>
          <w:sz w:val="40"/>
        </w:rPr>
        <w:t>投资分析、建议与行动</w:t>
      </w:r>
    </w:p>
    <w:p>
      <w:pPr>
        <w:jc w:val="both"/>
      </w:pPr>
      <w:r>
        <w:rPr>
          <w:rFonts w:ascii="Arial" w:hAnsi="Arial" w:eastAsia="Microsoft YaHei"/>
          <w:color w:val="000000"/>
          <w:sz w:val="19"/>
        </w:rPr>
        <w:t>本章涵盖勤勉与合理基础、客户沟通和记录保留。专业意见必须建立在充分研究之上，并以清晰、完整且可追溯的方式传达。</w:t>
      </w:r>
    </w:p>
    <w:p>
      <w:pPr>
        <w:pStyle w:val="Heading1"/>
      </w:pPr>
      <w:r>
        <w:t>标准结构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215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条款</w:t>
            </w:r>
          </w:p>
        </w:tc>
        <w:tc>
          <w:tcPr>
            <w:tcW w:type="dxa" w:w="3969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核心要求</w:t>
            </w:r>
          </w:p>
        </w:tc>
        <w:tc>
          <w:tcPr>
            <w:tcW w:type="dxa" w:w="266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关键证据</w:t>
            </w:r>
          </w:p>
        </w:tc>
      </w:tr>
      <w:tr>
        <w:tc>
          <w:tcPr>
            <w:tcW w:type="dxa" w:w="21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V(A) 勤勉与合理基础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分析、建议和行动应勤勉、独立、彻底，并有充分研究支持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假设、数据质量、时效、方法严谨性与独立性</w:t>
            </w:r>
          </w:p>
        </w:tc>
      </w:tr>
      <w:tr>
        <w:tc>
          <w:tcPr>
            <w:tcW w:type="dxa" w:w="215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V(B) 客户沟通</w:t>
            </w:r>
          </w:p>
        </w:tc>
        <w:tc>
          <w:tcPr>
            <w:tcW w:type="dxa" w:w="3969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披露投资过程、重大变化、限制和风险，区分事实与观点</w:t>
            </w:r>
          </w:p>
        </w:tc>
        <w:tc>
          <w:tcPr>
            <w:tcW w:type="dxa" w:w="266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方法、策略、重要因素、模型边界与清晰表达</w:t>
            </w:r>
          </w:p>
        </w:tc>
      </w:tr>
      <w:tr>
        <w:tc>
          <w:tcPr>
            <w:tcW w:type="dxa" w:w="21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V(C) 记录保留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维护支持分析、建议、行动和客户沟通的适当记录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模型、数据、邮件、即时通信、第三方研究与决策过程</w:t>
            </w:r>
          </w:p>
        </w:tc>
      </w:tr>
    </w:tbl>
    <w:p>
      <w:pPr>
        <w:pStyle w:val="Heading1"/>
      </w:pPr>
      <w:r>
        <w:t>合理基础的判断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研究范围应与结论重要性和风险相匹配，不得因时间压力省略关键对象或关键步骤。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采用二手或第三方研究时，应评估假设、分析严谨性、发布日期以及推荐的客观性和独立性。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使用定量模型时，应理解其假设、限制和输出在决策中的实际用途。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选择外部顾问和次级顾问时应采用一致的审查标准。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团队研究中，成员可在总体过程合理且结论有充分基础时参与共同建议。</w:t>
      </w:r>
    </w:p>
    <w:p>
      <w:pPr>
        <w:pStyle w:val="Heading1"/>
      </w:pPr>
      <w:r>
        <w:t>沟通四要素</w:t>
      </w:r>
    </w:p>
    <w:p>
      <w:pPr>
        <w:pStyle w:val="ListNumber"/>
      </w:pPr>
      <w:r>
        <w:rPr>
          <w:rFonts w:ascii="Arial" w:hAnsi="Arial" w:eastAsia="Microsoft YaHei"/>
          <w:color w:val="000000"/>
          <w:sz w:val="19"/>
        </w:rPr>
        <w:t>说明分析、证券选择和组合构建所采用的基本流程，并及时披露重大变化。</w:t>
      </w:r>
    </w:p>
    <w:p>
      <w:pPr>
        <w:pStyle w:val="ListNumber"/>
      </w:pPr>
      <w:r>
        <w:rPr>
          <w:rFonts w:ascii="Arial" w:hAnsi="Arial" w:eastAsia="Microsoft YaHei"/>
          <w:color w:val="000000"/>
          <w:sz w:val="19"/>
        </w:rPr>
        <w:t>披露投资过程的重要限制和风险。</w:t>
      </w:r>
    </w:p>
    <w:p>
      <w:pPr>
        <w:pStyle w:val="ListNumber"/>
      </w:pPr>
      <w:r>
        <w:rPr>
          <w:rFonts w:ascii="Arial" w:hAnsi="Arial" w:eastAsia="Microsoft YaHei"/>
          <w:color w:val="000000"/>
          <w:sz w:val="19"/>
        </w:rPr>
        <w:t>识别对结论重要的因素并纳入沟通。</w:t>
      </w:r>
    </w:p>
    <w:p>
      <w:pPr>
        <w:pStyle w:val="ListNumber"/>
      </w:pPr>
      <w:r>
        <w:rPr>
          <w:rFonts w:ascii="Arial" w:hAnsi="Arial" w:eastAsia="Microsoft YaHei"/>
          <w:color w:val="000000"/>
          <w:sz w:val="19"/>
        </w:rPr>
        <w:t>把可核验事实与基于假设、样本或模型形成的观点明确区分。</w:t>
      </w:r>
    </w:p>
    <w:p>
      <w:pPr>
        <w:pStyle w:val="Heading1"/>
      </w:pPr>
      <w:r>
        <w:t>记录管理</w:t>
      </w:r>
    </w:p>
    <w:p>
      <w:pPr>
        <w:jc w:val="both"/>
      </w:pPr>
      <w:r>
        <w:rPr>
          <w:rFonts w:ascii="Arial" w:hAnsi="Arial" w:eastAsia="Microsoft YaHei"/>
          <w:color w:val="000000"/>
          <w:sz w:val="19"/>
        </w:rPr>
        <w:t>记录通常属于公司。离职时不得擅自带走或继续使用原公司的记录。保存期间首先遵循当地法律与公司政策；在缺乏明确要求时，可采用至少七年的稳健期限。新媒体沟通同样需要纳入留存范围。</w:t>
      </w:r>
    </w:p>
    <w:sectPr w:rsidR="00FC693F" w:rsidRPr="0006063C" w:rsidSect="00034616">
      <w:pgSz w:w="12240" w:h="15840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4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