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0"/>
        </w:rPr>
        <w:t>利益冲突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本章通过披露、交易优先次序和推荐费规则管理现实或潜在利益冲突。存在冲突并不总是禁止相关活动，但必须使相关方能够充分评估影响。</w:t>
      </w:r>
    </w:p>
    <w:p>
      <w:pPr>
        <w:pStyle w:val="Heading1"/>
      </w:pPr>
      <w:r>
        <w:t>标准结构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9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条款</w:t>
            </w:r>
          </w:p>
        </w:tc>
        <w:tc>
          <w:tcPr>
            <w:tcW w:type="dxa" w:w="408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核心要求</w:t>
            </w:r>
          </w:p>
        </w:tc>
        <w:tc>
          <w:tcPr>
            <w:tcW w:type="dxa" w:w="272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披露或排序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VI(A) 冲突披露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充分、公平、显著并用清晰语言披露可能损害独立客观或妨碍职责的事项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向雇主、客户或潜在客户披露，使其可评估冲突影响</w:t>
            </w:r>
          </w:p>
        </w:tc>
      </w:tr>
      <w:tr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VI(B) 交易优先</w:t>
            </w:r>
          </w:p>
        </w:tc>
        <w:tc>
          <w:tcPr>
            <w:tcW w:type="dxa" w:w="408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客户和雇主交易优先于专业人士具有实益所有权的交易</w:t>
            </w:r>
          </w:p>
        </w:tc>
        <w:tc>
          <w:tcPr>
            <w:tcW w:type="dxa" w:w="272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客户 &gt; 雇主 &gt; 专业人士个人利益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VI(C) 推荐费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披露因推荐产品或服务而收取或支付的任何补偿或利益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签约前披露对象、性质、计算方式、持续性及估计价值</w:t>
            </w:r>
          </w:p>
        </w:tc>
      </w:tr>
    </w:tbl>
    <w:p>
      <w:pPr>
        <w:pStyle w:val="Heading1"/>
      </w:pPr>
      <w:r>
        <w:t>需要披露的典型冲突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持有正在分析或推荐的证券，或家庭成员具有相关实益所有权。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担任外部董事、顾问或参与可能与客户职责冲突的活动。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投资银行、承销、做市、经纪和研究之间的业务关系。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短期绩效奖金、佣金、激励费、业绩费或其他可能影响判断的报酬。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跨部门压力要求分析师偏向性推荐以争取业务。</w:t>
      </w:r>
    </w:p>
    <w:p>
      <w:pPr>
        <w:pStyle w:val="Heading1"/>
      </w:pPr>
      <w:r>
        <w:t>个人交易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专业人士并非绝对不得进行个人投资，但必须确保客户不因其交易受损，个人不得从客户交易中获得不当利益，并遵守监管和公司程序。对本人或其具有实益所有权的账户，应进行申报、事前审批并把客户交易置于优先位置。</w:t>
      </w:r>
    </w:p>
    <w:p>
      <w:pPr>
        <w:pStyle w:val="Heading1"/>
      </w:pPr>
      <w:r>
        <w:t>推荐费披露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正式服务协议签订前，应告知客户或潜在客户所给予或收到的利益。披露应包括现金或非现金形式、固定金额或比例、一次性或持续性、是否取决于业绩以及估计金额。雇主可完全禁止推荐费，或建立允许但必须披露的程序。</w:t>
      </w:r>
    </w:p>
    <w:p>
      <w:pPr>
        <w:pStyle w:val="Heading1"/>
      </w:pPr>
      <w:r>
        <w:t>处理顺序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识别冲突及受影响的职责。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判断活动是否被法律或公司政策直接禁止。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在行动或签约前向适当对象充分披露。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采用回避、信息隔离、交易排序或审批等控制。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持续更新披露并保留相关记录。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