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534C2">
      <w:pPr>
        <w:pStyle w:val="2"/>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cs="宋体"/>
          <w:b w:val="0"/>
          <w:bCs w:val="0"/>
          <w:sz w:val="28"/>
          <w:szCs w:val="28"/>
          <w:lang w:val="en-US" w:eastAsia="zh-CN"/>
        </w:rPr>
        <w:t>一</w:t>
      </w:r>
      <w:r>
        <w:rPr>
          <w:rFonts w:hint="default"/>
        </w:rPr>
        <w:t>、</w:t>
      </w:r>
      <w:r>
        <w:rPr>
          <w:rFonts w:hint="eastAsia" w:ascii="宋体" w:hAnsi="宋体" w:eastAsia="宋体" w:cs="宋体"/>
          <w:b w:val="0"/>
          <w:bCs w:val="0"/>
          <w:sz w:val="28"/>
          <w:szCs w:val="28"/>
        </w:rPr>
        <w:t>硬件系统架构与核心功能详述</w:t>
      </w:r>
    </w:p>
    <w:p w14:paraId="35481424">
      <w:pPr>
        <w:pStyle w:val="2"/>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ascii="宋体" w:hAnsi="宋体" w:eastAsia="宋体" w:cs="宋体"/>
          <w:b w:val="0"/>
          <w:bCs w:val="0"/>
          <w:sz w:val="28"/>
          <w:szCs w:val="28"/>
        </w:rPr>
        <w:t>针对传统</w:t>
      </w:r>
      <w:r>
        <w:rPr>
          <w:rFonts w:hint="eastAsia" w:cs="宋体"/>
          <w:b w:val="0"/>
          <w:bCs w:val="0"/>
          <w:sz w:val="28"/>
          <w:szCs w:val="28"/>
          <w:lang w:val="en-US" w:eastAsia="zh-CN"/>
        </w:rPr>
        <w:t>农业</w:t>
      </w:r>
      <w:r>
        <w:rPr>
          <w:rFonts w:hint="eastAsia" w:ascii="宋体" w:hAnsi="宋体" w:eastAsia="宋体" w:cs="宋体"/>
          <w:b w:val="0"/>
          <w:bCs w:val="0"/>
          <w:sz w:val="28"/>
          <w:szCs w:val="28"/>
        </w:rPr>
        <w:t>种植中存在的环境监测盲区大、野外布线困难、设备续航短等痛点，本项目围绕地黄等高附加值作物的精细化管理需求，自主研发了基于“边缘汇聚+分布式感知”的星型拓扑硬件网络。系统由一台田间多功能边缘计算基站与多个分布式环境感知节点（N）组成，构建了“1+N”的全天候、低功耗立体监测体系。</w:t>
      </w:r>
    </w:p>
    <w:p w14:paraId="406DADE9">
      <w:pPr>
        <w:pStyle w:val="2"/>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cs="宋体"/>
          <w:b w:val="0"/>
          <w:bCs w:val="0"/>
          <w:sz w:val="28"/>
          <w:szCs w:val="28"/>
          <w:lang w:val="en-US" w:eastAsia="zh-CN"/>
        </w:rPr>
        <w:t>1.</w:t>
      </w:r>
      <w:r>
        <w:rPr>
          <w:rFonts w:hint="eastAsia" w:ascii="宋体" w:hAnsi="宋体" w:eastAsia="宋体" w:cs="宋体"/>
          <w:b w:val="0"/>
          <w:bCs w:val="0"/>
          <w:sz w:val="28"/>
          <w:szCs w:val="28"/>
        </w:rPr>
        <w:t>田间多功能边缘计算基站（田埂枢纽部署）</w:t>
      </w:r>
    </w:p>
    <w:p w14:paraId="70ABA194">
      <w:pPr>
        <w:pStyle w:val="4"/>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ascii="宋体" w:hAnsi="宋体" w:eastAsia="宋体" w:cs="宋体"/>
          <w:b w:val="0"/>
          <w:bCs w:val="0"/>
          <w:sz w:val="28"/>
          <w:szCs w:val="28"/>
        </w:rPr>
        <w:t>基站部署于田埂视野开阔处，作为整个监测网络的“数据中枢”与“视觉中枢”。硬件底层基于高性能微型计算机（Raspberry Pi）构建，深度集成高清视觉捕获单元、高效单晶硅太阳能光伏板、大容量锂电池储能单元、LoRa 集中器及 4G 全网通通信模块，具备极强的野外环境适应性。</w:t>
      </w:r>
    </w:p>
    <w:p w14:paraId="3CC9DD33">
      <w:pPr>
        <w:pStyle w:val="4"/>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ascii="宋体" w:hAnsi="宋体" w:eastAsia="宋体" w:cs="宋体"/>
          <w:b w:val="0"/>
          <w:bCs w:val="0"/>
          <w:sz w:val="28"/>
          <w:szCs w:val="28"/>
        </w:rPr>
        <w:t>基站主要承担以下三项核心业务：</w:t>
      </w:r>
    </w:p>
    <w:p w14:paraId="23F08EF3">
      <w:pPr>
        <w:pStyle w:val="4"/>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ascii="宋体" w:hAnsi="宋体" w:eastAsia="宋体" w:cs="宋体"/>
          <w:b w:val="0"/>
          <w:bCs w:val="0"/>
          <w:sz w:val="28"/>
          <w:szCs w:val="28"/>
          <w:lang w:val="en-US" w:eastAsia="zh-CN"/>
        </w:rPr>
        <w:t>(1)</w:t>
      </w:r>
      <w:r>
        <w:rPr>
          <w:rFonts w:hint="eastAsia" w:ascii="宋体" w:hAnsi="宋体" w:eastAsia="宋体" w:cs="宋体"/>
          <w:b w:val="0"/>
          <w:bCs w:val="0"/>
          <w:sz w:val="28"/>
          <w:szCs w:val="28"/>
        </w:rPr>
        <w:t>异构数据汇聚与低延迟上云：</w:t>
      </w:r>
      <w:r>
        <w:rPr>
          <w:rFonts w:hint="eastAsia" w:ascii="宋体" w:hAnsi="宋体" w:eastAsia="宋体" w:cs="宋体"/>
          <w:b w:val="0"/>
          <w:bCs w:val="0"/>
          <w:sz w:val="28"/>
          <w:szCs w:val="28"/>
        </w:rPr>
        <w:t xml:space="preserve"> 依托内置的 LoRa 宽带射频网关，基站可高并发接收广域田间所有分布式节点上传的传感数据。通过内部协议栈进行数据清洗与封装后，利用 4G 蜂窝网络统一推行至云端服务器，彻底打破偏远农田的“网络孤岛”效应，保障环境数据的实时同步。</w:t>
      </w:r>
    </w:p>
    <w:p w14:paraId="20214714">
      <w:pPr>
        <w:pStyle w:val="4"/>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ascii="宋体" w:hAnsi="宋体" w:eastAsia="宋体" w:cs="宋体"/>
          <w:b w:val="0"/>
          <w:bCs w:val="0"/>
          <w:sz w:val="28"/>
          <w:szCs w:val="28"/>
          <w:lang w:val="en-US" w:eastAsia="zh-CN"/>
        </w:rPr>
        <w:t>(2)</w:t>
      </w:r>
      <w:r>
        <w:rPr>
          <w:rFonts w:hint="eastAsia" w:ascii="宋体" w:hAnsi="宋体" w:eastAsia="宋体" w:cs="宋体"/>
          <w:b w:val="0"/>
          <w:bCs w:val="0"/>
          <w:sz w:val="28"/>
          <w:szCs w:val="28"/>
        </w:rPr>
        <w:t>作物长势定点巡航与边缘预处理：</w:t>
      </w:r>
      <w:r>
        <w:rPr>
          <w:rFonts w:hint="eastAsia" w:ascii="宋体" w:hAnsi="宋体" w:eastAsia="宋体" w:cs="宋体"/>
          <w:b w:val="0"/>
          <w:bCs w:val="0"/>
          <w:sz w:val="28"/>
          <w:szCs w:val="28"/>
        </w:rPr>
        <w:t xml:space="preserve"> 突破传统农业物联网仅依靠温湿度数据的局限，基站集成的高清摄像头支持定时、多视角的农田实景捕获。配合边缘计算算力，可为后期的病虫害识别和长势评估提供高质量的图像数据源，支持农户进行远程可视化巡田。</w:t>
      </w:r>
    </w:p>
    <w:p w14:paraId="698206FC">
      <w:pPr>
        <w:pStyle w:val="4"/>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ascii="宋体" w:hAnsi="宋体" w:eastAsia="宋体" w:cs="宋体"/>
          <w:b w:val="0"/>
          <w:bCs w:val="0"/>
          <w:sz w:val="28"/>
          <w:szCs w:val="28"/>
          <w:lang w:val="en-US" w:eastAsia="zh-CN"/>
        </w:rPr>
        <w:t>(3)</w:t>
      </w:r>
      <w:r>
        <w:rPr>
          <w:rFonts w:hint="eastAsia" w:ascii="宋体" w:hAnsi="宋体" w:eastAsia="宋体" w:cs="宋体"/>
          <w:b w:val="0"/>
          <w:bCs w:val="0"/>
          <w:sz w:val="28"/>
          <w:szCs w:val="28"/>
        </w:rPr>
        <w:t>离网型微电网协同供电系统：</w:t>
      </w:r>
      <w:r>
        <w:rPr>
          <w:rFonts w:hint="eastAsia" w:ascii="宋体" w:hAnsi="宋体" w:eastAsia="宋体" w:cs="宋体"/>
          <w:b w:val="0"/>
          <w:bCs w:val="0"/>
          <w:sz w:val="28"/>
          <w:szCs w:val="28"/>
        </w:rPr>
        <w:t xml:space="preserve"> 针对大田无市电的严苛工况，设计了“光伏+储能”的离网供电架构。内置智能电源管理（BMS）系统，能够根据实时光照强度动态调节充放电策略，科学分配核心计算模块与通信模块的能耗，确保基站在连续阴雨等极端天气下仍能维持高可用运行。</w:t>
      </w:r>
    </w:p>
    <w:p w14:paraId="6BD296FD">
      <w:pPr>
        <w:pStyle w:val="4"/>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ascii="宋体" w:hAnsi="宋体" w:eastAsia="宋体" w:cs="宋体"/>
          <w:b w:val="0"/>
          <w:bCs w:val="0"/>
          <w:sz w:val="28"/>
          <w:szCs w:val="28"/>
          <w:lang w:val="en-US" w:eastAsia="zh-CN"/>
        </w:rPr>
        <w:t>2.</w:t>
      </w:r>
      <w:r>
        <w:rPr>
          <w:rFonts w:hint="eastAsia" w:ascii="宋体" w:hAnsi="宋体" w:eastAsia="宋体" w:cs="宋体"/>
          <w:b w:val="0"/>
          <w:bCs w:val="0"/>
          <w:sz w:val="28"/>
          <w:szCs w:val="28"/>
        </w:rPr>
        <w:t>极低功耗分布式环境感知节点（标准五点布设）</w:t>
      </w:r>
    </w:p>
    <w:p w14:paraId="73151CB5">
      <w:pPr>
        <w:pStyle w:val="4"/>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ascii="宋体" w:hAnsi="宋体" w:eastAsia="宋体" w:cs="宋体"/>
          <w:b w:val="0"/>
          <w:bCs w:val="0"/>
          <w:sz w:val="28"/>
          <w:szCs w:val="28"/>
        </w:rPr>
        <w:t>在空间部署策略上，系统严格遵循农学规范中的“五点采样法”，于目标地块的四个边角及几何中心分别部署感知节点，构建了高空间分辨率的微气象与土壤数据采集网。节点主控采用高能效的 ESP32 微控制器，并下挂土壤温湿度、土壤电导率（EC）、空气温湿度及光照强度等高精度工业级传感器。为实现野外极度严苛的续航要求，团队从硬件底层进行了深度自研与技术攻关：</w:t>
      </w:r>
    </w:p>
    <w:p w14:paraId="3386D562">
      <w:pPr>
        <w:pStyle w:val="4"/>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ascii="宋体" w:hAnsi="宋体" w:eastAsia="宋体" w:cs="宋体"/>
          <w:b w:val="0"/>
          <w:bCs w:val="0"/>
          <w:sz w:val="28"/>
          <w:szCs w:val="28"/>
          <w:lang w:val="en-US" w:eastAsia="zh-CN"/>
        </w:rPr>
        <w:t>(1)</w:t>
      </w:r>
      <w:r>
        <w:rPr>
          <w:rFonts w:hint="eastAsia" w:ascii="宋体" w:hAnsi="宋体" w:eastAsia="宋体" w:cs="宋体"/>
          <w:b w:val="0"/>
          <w:bCs w:val="0"/>
          <w:sz w:val="28"/>
          <w:szCs w:val="28"/>
        </w:rPr>
        <w:t>多维农情参数精准感知：</w:t>
      </w:r>
      <w:r>
        <w:rPr>
          <w:rFonts w:hint="eastAsia" w:ascii="宋体" w:hAnsi="宋体" w:eastAsia="宋体" w:cs="宋体"/>
          <w:b w:val="0"/>
          <w:bCs w:val="0"/>
          <w:sz w:val="28"/>
          <w:szCs w:val="28"/>
        </w:rPr>
        <w:t xml:space="preserve"> 每个分布式节点独立运作，精准、连续地捕捉所在微环境的 6 项核心农情指标。数据通过低频段 LoRa 无线射频技术，以极强的穿透力越过作物冠层直达基站，彻底免除田间开沟布线的工程负担。</w:t>
      </w:r>
    </w:p>
    <w:p w14:paraId="0AE4F38C">
      <w:pPr>
        <w:pStyle w:val="4"/>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ascii="宋体" w:hAnsi="宋体" w:eastAsia="宋体" w:cs="宋体"/>
          <w:b w:val="0"/>
          <w:bCs w:val="0"/>
          <w:sz w:val="28"/>
          <w:szCs w:val="28"/>
          <w:lang w:val="en-US" w:eastAsia="zh-CN"/>
        </w:rPr>
        <w:t>(2)</w:t>
      </w:r>
      <w:r>
        <w:rPr>
          <w:rFonts w:hint="eastAsia" w:ascii="宋体" w:hAnsi="宋体" w:eastAsia="宋体" w:cs="宋体"/>
          <w:b w:val="0"/>
          <w:bCs w:val="0"/>
          <w:sz w:val="28"/>
          <w:szCs w:val="28"/>
        </w:rPr>
        <w:t>硬件级超低功耗自研控制架构（核心技术创新）：</w:t>
      </w:r>
      <w:r>
        <w:rPr>
          <w:rFonts w:hint="eastAsia" w:ascii="宋体" w:hAnsi="宋体" w:eastAsia="宋体" w:cs="宋体"/>
          <w:b w:val="0"/>
          <w:bCs w:val="0"/>
          <w:sz w:val="28"/>
          <w:szCs w:val="28"/>
        </w:rPr>
        <w:t xml:space="preserve"> 针对多传感器持续待机导致电量枯竭的行业痛点，团队自主设计了专用的传感器底板 PCB。创新性地引入了</w:t>
      </w:r>
      <w:r>
        <w:rPr>
          <w:rFonts w:hint="eastAsia" w:ascii="宋体" w:hAnsi="宋体" w:eastAsia="宋体" w:cs="宋体"/>
          <w:b w:val="0"/>
          <w:bCs w:val="0"/>
          <w:sz w:val="28"/>
          <w:szCs w:val="28"/>
        </w:rPr>
        <w:t>自研高侧负载开关电路（基于 P 沟道 MOS 管与限流网络）</w:t>
      </w:r>
      <w:r>
        <w:rPr>
          <w:rFonts w:hint="eastAsia" w:ascii="宋体" w:hAnsi="宋体" w:eastAsia="宋体" w:cs="宋体"/>
          <w:b w:val="0"/>
          <w:bCs w:val="0"/>
          <w:sz w:val="28"/>
          <w:szCs w:val="28"/>
        </w:rPr>
        <w:t>。在非采样周期，微控制器在进入深度休眠（Deep Sleep）的同时，通过 GPIO 物理切断所有外部传感器及射频模块的供电链路。</w:t>
      </w:r>
    </w:p>
    <w:p w14:paraId="6E87201A">
      <w:pPr>
        <w:pStyle w:val="4"/>
        <w:keepNext w:val="0"/>
        <w:keepLines w:val="0"/>
        <w:widowControl/>
        <w:suppressLineNumbers w:val="0"/>
        <w:spacing w:before="0" w:beforeAutospacing="0" w:line="12" w:lineRule="atLeast"/>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drawing>
          <wp:inline distT="0" distB="0" distL="114300" distR="114300">
            <wp:extent cx="5266690" cy="3562350"/>
            <wp:effectExtent l="0" t="0" r="3810" b="0"/>
            <wp:docPr id="4" name="图片 4" descr="3D_PCB1_2026-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D_PCB1_2026-02-24"/>
                    <pic:cNvPicPr>
                      <a:picLocks noChangeAspect="1"/>
                    </pic:cNvPicPr>
                  </pic:nvPicPr>
                  <pic:blipFill>
                    <a:blip r:embed="rId4"/>
                    <a:stretch>
                      <a:fillRect/>
                    </a:stretch>
                  </pic:blipFill>
                  <pic:spPr>
                    <a:xfrm>
                      <a:off x="0" y="0"/>
                      <a:ext cx="5266690" cy="3562350"/>
                    </a:xfrm>
                    <a:prstGeom prst="rect">
                      <a:avLst/>
                    </a:prstGeom>
                  </pic:spPr>
                </pic:pic>
              </a:graphicData>
            </a:graphic>
          </wp:inline>
        </w:drawing>
      </w:r>
    </w:p>
    <w:p w14:paraId="631AB667">
      <w:pPr>
        <w:pStyle w:val="4"/>
        <w:keepNext w:val="0"/>
        <w:keepLines w:val="0"/>
        <w:widowControl/>
        <w:suppressLineNumbers w:val="0"/>
        <w:spacing w:before="0" w:beforeAutospacing="0" w:line="12" w:lineRule="atLeast"/>
        <w:jc w:val="center"/>
        <w:rPr>
          <w:rFonts w:hint="default" w:ascii="宋体" w:hAnsi="宋体" w:eastAsia="宋体" w:cs="宋体"/>
          <w:b w:val="0"/>
          <w:bCs w:val="0"/>
          <w:sz w:val="21"/>
          <w:szCs w:val="21"/>
          <w:lang w:val="en-US" w:eastAsia="zh-CN"/>
        </w:rPr>
      </w:pPr>
      <w:r>
        <w:rPr>
          <w:rFonts w:hint="eastAsia" w:ascii="宋体" w:hAnsi="宋体" w:eastAsia="宋体" w:cs="宋体"/>
          <w:sz w:val="21"/>
          <w:szCs w:val="21"/>
          <w:lang w:val="en-US" w:eastAsia="zh-CN"/>
        </w:rPr>
        <w:t>图：自研</w:t>
      </w:r>
      <w:r>
        <w:rPr>
          <w:rFonts w:ascii="宋体" w:hAnsi="宋体" w:eastAsia="宋体" w:cs="宋体"/>
          <w:sz w:val="21"/>
          <w:szCs w:val="21"/>
        </w:rPr>
        <w:t>传感器底板PCB</w:t>
      </w:r>
      <w:r>
        <w:rPr>
          <w:rFonts w:hint="eastAsia" w:ascii="宋体" w:hAnsi="宋体" w:eastAsia="宋体" w:cs="宋体"/>
          <w:sz w:val="21"/>
          <w:szCs w:val="21"/>
          <w:lang w:val="en-US" w:eastAsia="zh-CN"/>
        </w:rPr>
        <w:t xml:space="preserve"> 3D渲染图</w:t>
      </w:r>
    </w:p>
    <w:p w14:paraId="088CDA7F">
      <w:pPr>
        <w:pStyle w:val="4"/>
        <w:keepNext w:val="0"/>
        <w:keepLines w:val="0"/>
        <w:widowControl/>
        <w:suppressLineNumbers w:val="0"/>
        <w:spacing w:before="0" w:beforeAutospacing="0" w:line="12" w:lineRule="atLeast"/>
        <w:rPr>
          <w:rFonts w:hint="eastAsia" w:ascii="宋体" w:hAnsi="宋体" w:eastAsia="宋体" w:cs="宋体"/>
          <w:b w:val="0"/>
          <w:bCs w:val="0"/>
          <w:sz w:val="28"/>
          <w:szCs w:val="28"/>
        </w:rPr>
      </w:pPr>
      <w:r>
        <w:rPr>
          <w:rFonts w:hint="eastAsia" w:ascii="宋体" w:hAnsi="宋体" w:eastAsia="宋体" w:cs="宋体"/>
          <w:b w:val="0"/>
          <w:bCs w:val="0"/>
          <w:sz w:val="28"/>
          <w:szCs w:val="28"/>
          <w:lang w:val="en-US" w:eastAsia="zh-CN"/>
        </w:rPr>
        <w:t>(3)</w:t>
      </w:r>
      <w:r>
        <w:rPr>
          <w:rFonts w:hint="eastAsia" w:ascii="宋体" w:hAnsi="宋体" w:eastAsia="宋体" w:cs="宋体"/>
          <w:b w:val="0"/>
          <w:bCs w:val="0"/>
          <w:sz w:val="28"/>
          <w:szCs w:val="28"/>
        </w:rPr>
        <w:t>长周期免维护部署：</w:t>
      </w:r>
      <w:r>
        <w:rPr>
          <w:rFonts w:hint="eastAsia" w:ascii="宋体" w:hAnsi="宋体" w:eastAsia="宋体" w:cs="宋体"/>
          <w:b w:val="0"/>
          <w:bCs w:val="0"/>
          <w:sz w:val="28"/>
          <w:szCs w:val="28"/>
        </w:rPr>
        <w:t xml:space="preserve"> 得益于“软件级深度休眠+硬件级物理断电”的双重极致优化，单节点的平均静态功耗被成功压降至微安级别。配合节点独立的小型太阳能与储能模块，实现了整个作物生长周期内的“一次部署，全程免维护”，极大降低了系统的运维成本与人工干预频率。</w:t>
      </w:r>
    </w:p>
    <w:p w14:paraId="7B143133">
      <w:pPr>
        <w:pStyle w:val="2"/>
        <w:keepNext w:val="0"/>
        <w:keepLines w:val="0"/>
        <w:widowControl/>
        <w:suppressLineNumbers w:val="0"/>
        <w:rPr>
          <w:rFonts w:hint="eastAsia" w:ascii="宋体" w:hAnsi="宋体" w:eastAsia="宋体" w:cs="宋体"/>
          <w:b w:val="0"/>
          <w:bCs w:val="0"/>
          <w:sz w:val="28"/>
          <w:szCs w:val="28"/>
        </w:rPr>
      </w:pPr>
      <w:r>
        <w:rPr>
          <w:rFonts w:hint="eastAsia" w:ascii="宋体" w:hAnsi="宋体" w:eastAsia="宋体" w:cs="宋体"/>
          <w:b w:val="0"/>
          <w:bCs w:val="0"/>
          <w:sz w:val="28"/>
          <w:szCs w:val="28"/>
        </w:rPr>
        <w:t>3.2 项目核心技术</w:t>
      </w:r>
    </w:p>
    <w:p w14:paraId="7549C2D4">
      <w:pPr>
        <w:pStyle w:val="2"/>
        <w:keepNext w:val="0"/>
        <w:keepLines w:val="0"/>
        <w:widowControl/>
        <w:suppressLineNumbers w:val="0"/>
        <w:rPr>
          <w:rFonts w:hint="eastAsia" w:ascii="宋体" w:hAnsi="宋体" w:eastAsia="宋体" w:cs="宋体"/>
          <w:b w:val="0"/>
          <w:bCs w:val="0"/>
          <w:sz w:val="28"/>
          <w:szCs w:val="28"/>
        </w:rPr>
      </w:pPr>
      <w:r>
        <w:rPr>
          <w:rFonts w:hint="eastAsia" w:ascii="宋体" w:hAnsi="宋体" w:eastAsia="宋体" w:cs="宋体"/>
          <w:b w:val="0"/>
          <w:bCs w:val="0"/>
          <w:sz w:val="28"/>
          <w:szCs w:val="28"/>
        </w:rPr>
        <w:t>本项目的核心技术体系由四个关键部分构成，共同支撑起“天空地一体化”智慧种植解决方案。</w:t>
      </w:r>
    </w:p>
    <w:p w14:paraId="07E18CC2">
      <w:pPr>
        <w:pStyle w:val="4"/>
        <w:keepNext w:val="0"/>
        <w:keepLines w:val="0"/>
        <w:widowControl/>
        <w:suppressLineNumbers w:val="0"/>
        <w:rPr>
          <w:rFonts w:hint="eastAsia" w:ascii="宋体" w:hAnsi="宋体" w:eastAsia="宋体" w:cs="宋体"/>
          <w:b w:val="0"/>
          <w:bCs w:val="0"/>
          <w:sz w:val="28"/>
          <w:szCs w:val="28"/>
        </w:rPr>
      </w:pPr>
      <w:r>
        <w:rPr>
          <w:rFonts w:hint="eastAsia" w:ascii="宋体" w:hAnsi="宋体" w:eastAsia="宋体" w:cs="宋体"/>
          <w:b w:val="0"/>
          <w:bCs w:val="0"/>
          <w:sz w:val="28"/>
          <w:szCs w:val="28"/>
        </w:rPr>
        <w:t>1. 异构节点协同与自研底层的超低功耗物联网组网技术</w:t>
      </w:r>
    </w:p>
    <w:p w14:paraId="302E1E0A">
      <w:pPr>
        <w:pStyle w:val="4"/>
        <w:keepNext w:val="0"/>
        <w:keepLines w:val="0"/>
        <w:widowControl/>
        <w:suppressLineNumbers w:val="0"/>
        <w:rPr>
          <w:rFonts w:hint="eastAsia" w:ascii="宋体" w:hAnsi="宋体" w:eastAsia="宋体" w:cs="宋体"/>
          <w:b w:val="0"/>
          <w:bCs w:val="0"/>
          <w:sz w:val="28"/>
          <w:szCs w:val="28"/>
        </w:rPr>
      </w:pPr>
      <w:r>
        <w:rPr>
          <w:rFonts w:hint="eastAsia" w:ascii="宋体" w:hAnsi="宋体" w:eastAsia="宋体" w:cs="宋体"/>
          <w:b w:val="0"/>
          <w:bCs w:val="0"/>
          <w:sz w:val="28"/>
          <w:szCs w:val="28"/>
        </w:rPr>
        <w:t>针对大田环境无市电、布线成本极高且缺乏宽带网络的行业痛点，本项目摒弃了传统高能耗的集成式设备，创新性地研发了**“1个边缘计算枢纽 + N个极低功耗感知触角”**的星型异构硬件架构，实现了针对地黄等高附加值作物的低成本、高可靠长期在线监测。该核心技术具体体现在以下三个维度：</w:t>
      </w:r>
    </w:p>
    <w:p w14:paraId="4C1AC05A">
      <w:pPr>
        <w:pStyle w:val="4"/>
        <w:keepNext w:val="0"/>
        <w:keepLines w:val="0"/>
        <w:widowControl/>
        <w:suppressLineNumbers w:val="0"/>
        <w:rPr>
          <w:rFonts w:hint="eastAsia" w:ascii="宋体" w:hAnsi="宋体" w:eastAsia="宋体" w:cs="宋体"/>
          <w:b w:val="0"/>
          <w:bCs w:val="0"/>
          <w:sz w:val="28"/>
          <w:szCs w:val="28"/>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1</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硬件物理层的极致功耗控制（自研核心）： 突破传统传感器持续耗电的瓶颈，团队自主研发了基于 ESP32 的环境感知节点底板 PCB。通过创新设计的高侧负载开关电路（基于 P 沟道 MOS 管与精密限流网络），在系统处于非采样休眠周期时，不仅主控芯片进入 Deep Sleep 模式，更在物理层面上彻底切断了所有外围高精度传感器及射频射频模块的供电链路。此项底层硬件优化将单节点的静态待机功耗成功压降至微安级别，结合小型光伏阵列，实现了作物全生育期内的“一次部署，免维护运行”。</w:t>
      </w:r>
    </w:p>
    <w:p w14:paraId="2DD9C005">
      <w:pPr>
        <w:pStyle w:val="4"/>
        <w:keepNext w:val="0"/>
        <w:keepLines w:val="0"/>
        <w:widowControl/>
        <w:suppressLineNumbers w:val="0"/>
        <w:rPr>
          <w:rFonts w:hint="eastAsia" w:ascii="宋体" w:hAnsi="宋体" w:eastAsia="宋体" w:cs="宋体"/>
          <w:b w:val="0"/>
          <w:bCs w:val="0"/>
          <w:sz w:val="28"/>
          <w:szCs w:val="28"/>
        </w:rPr>
      </w:pPr>
    </w:p>
    <w:p w14:paraId="5673D08B">
      <w:pPr>
        <w:pStyle w:val="4"/>
        <w:keepNext w:val="0"/>
        <w:keepLines w:val="0"/>
        <w:widowControl/>
        <w:suppressLineNumbers w:val="0"/>
        <w:rPr>
          <w:rFonts w:hint="eastAsia" w:ascii="宋体" w:hAnsi="宋体" w:eastAsia="宋体" w:cs="宋体"/>
          <w:b w:val="0"/>
          <w:bCs w:val="0"/>
          <w:sz w:val="28"/>
          <w:szCs w:val="28"/>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2</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高穿透、低延迟的“边缘-感知”协同通信： 针对地黄等作物中后期冠层茂密容易阻挡信号的问题，田间局域网采用低频段 LoRa 无线射频技术，确保环境多维数据（土壤温湿度、EC值、微气象等）能以极低衰减穿透作物冠层，稳定直达基站。</w:t>
      </w:r>
      <w:bookmarkStart w:id="0" w:name="_GoBack"/>
      <w:bookmarkEnd w:id="0"/>
    </w:p>
    <w:p w14:paraId="7C19A5C7">
      <w:pPr>
        <w:pStyle w:val="4"/>
        <w:keepNext w:val="0"/>
        <w:keepLines w:val="0"/>
        <w:widowControl/>
        <w:suppressLineNumbers w:val="0"/>
        <w:rPr>
          <w:rFonts w:hint="eastAsia" w:ascii="宋体" w:hAnsi="宋体" w:eastAsia="宋体" w:cs="宋体"/>
          <w:b w:val="0"/>
          <w:bCs w:val="0"/>
          <w:sz w:val="28"/>
          <w:szCs w:val="28"/>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3</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高度集成的多功能离网微电网基站： 在田块枢纽位置部署基于微型计算机（Raspberry Pi）的边缘网关。该基站不仅作为 LoRa 数据汇集与 4G 蜂窝网络加密上云的通信桥梁，更深度集成了定时视觉监控与智能 BMS 电源管理系统。系统根据全天候光照条件动态调节储能锂电池的充放电策略，确保在连续阴雨等恶劣工况下，数据链与视频链依然保持高可用。</w:t>
      </w:r>
    </w:p>
    <w:p w14:paraId="426FED7E">
      <w:pPr>
        <w:keepNext w:val="0"/>
        <w:keepLines w:val="0"/>
        <w:widowControl/>
        <w:numPr>
          <w:ilvl w:val="0"/>
          <w:numId w:val="1"/>
        </w:numPr>
        <w:suppressLineNumbers w:val="0"/>
        <w:spacing w:before="0" w:beforeAutospacing="1" w:after="0" w:afterAutospacing="1"/>
        <w:ind w:left="1440" w:hanging="360"/>
        <w:rPr>
          <w:rFonts w:hint="eastAsia" w:ascii="宋体" w:hAnsi="宋体" w:eastAsia="宋体" w:cs="宋体"/>
          <w:b w:val="0"/>
          <w:bCs w:val="0"/>
          <w:sz w:val="28"/>
          <w:szCs w:val="28"/>
        </w:rPr>
      </w:pPr>
    </w:p>
    <w:p w14:paraId="009DC488">
      <w:pPr>
        <w:rPr>
          <w:rFonts w:hint="eastAsia" w:ascii="宋体" w:hAnsi="宋体" w:eastAsia="宋体" w:cs="宋体"/>
          <w:b w:val="0"/>
          <w:bCs w:val="0"/>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41E809"/>
    <w:multiLevelType w:val="multilevel"/>
    <w:tmpl w:val="0841E8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880863"/>
    <w:rsid w:val="78880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2026-02-24T11:49:00Z</dcterms:created>
  <dc:creator>轻舞飞扬</dc:creator>
  <cp:lastModifiedBy>轻舞飞扬</cp:lastModifiedBy>
  <dcterms:modified xsi:type="dcterms:W3CDTF">2026-02-24T12:11:04Z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26878499805848A9ABD81F4F735619CA_11</vt:lpwstr>
  </property>
  <property fmtid="{D5CDD505-2E9C-101B-9397-08002B2CF9AE}" pid="4" name="KSOTemplateDocerSaveRecord">
    <vt:lpwstr>eyJoZGlkIjoiOWNkNTAwMzVkMjQxZDdiYTcxYzE2MDBmZTNlMjQ0OWYiLCJ1c2VySWQiOiIxNjI1NTg3NDcxIn0=</vt:lpwstr>
  </property>
</Properties>
</file>