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324" w:lineRule="auto"/>
        <w:jc w:val="center"/>
      </w:pPr>
      <w:r>
        <w:rPr>
          <w:rFonts w:ascii="Aptos" w:hAnsi="Aptos" w:eastAsia="Microsoft YaHei"/>
          <w:b/>
          <w:color w:val="35D0BA"/>
          <w:sz w:val="24"/>
        </w:rPr>
        <w:t>2026年iCAN大学生创新创业大赛</w:t>
      </w:r>
    </w:p>
    <w:p>
      <w:pPr>
        <w:keepNext w:val="0"/>
        <w:spacing w:before="0" w:after="360" w:line="324" w:lineRule="auto"/>
        <w:jc w:val="center"/>
      </w:pPr>
      <w:r>
        <w:rPr>
          <w:rFonts w:ascii="Aptos" w:hAnsi="Aptos" w:eastAsia="Microsoft YaHei"/>
          <w:b/>
          <w:color w:val="667784"/>
          <w:sz w:val="22"/>
        </w:rPr>
        <w:t>AI应用创新挑战赛 · 软件赛道 · 高校组</w:t>
      </w:r>
    </w:p>
    <w:p>
      <w:pPr>
        <w:jc w:val="center"/>
      </w:pPr>
      <w:r>
        <w:drawing>
          <wp:inline xmlns:a="http://schemas.openxmlformats.org/drawingml/2006/main" xmlns:pic="http://schemas.openxmlformats.org/drawingml/2006/picture">
            <wp:extent cx="1512000" cy="1512000"/>
            <wp:docPr id="1" name="Picture 1" descr="VisionGuard AI项目标志：盾牌与视觉之眼" title="VisionGuard AI项目标志"/>
            <wp:cNvGraphicFramePr>
              <a:graphicFrameLocks noChangeAspect="1"/>
            </wp:cNvGraphicFramePr>
            <a:graphic>
              <a:graphicData uri="http://schemas.openxmlformats.org/drawingml/2006/picture">
                <pic:pic>
                  <pic:nvPicPr>
                    <pic:cNvPr id="0" name="visionguard-logo.png"/>
                    <pic:cNvPicPr/>
                  </pic:nvPicPr>
                  <pic:blipFill>
                    <a:blip r:embed="rId11"/>
                    <a:stretch>
                      <a:fillRect/>
                    </a:stretch>
                  </pic:blipFill>
                  <pic:spPr>
                    <a:xfrm>
                      <a:off x="0" y="0"/>
                      <a:ext cx="1512000" cy="1512000"/>
                    </a:xfrm>
                    <a:prstGeom prst="rect"/>
                  </pic:spPr>
                </pic:pic>
              </a:graphicData>
            </a:graphic>
          </wp:inline>
        </w:drawing>
      </w:r>
    </w:p>
    <w:p>
      <w:pPr>
        <w:keepNext w:val="0"/>
        <w:spacing w:before="0" w:after="80" w:line="324" w:lineRule="auto"/>
        <w:jc w:val="center"/>
      </w:pPr>
      <w:r>
        <w:rPr>
          <w:rFonts w:ascii="Aptos" w:hAnsi="Aptos" w:eastAsia="Microsoft YaHei"/>
          <w:b/>
          <w:color w:val="092238"/>
          <w:sz w:val="60"/>
        </w:rPr>
        <w:t>VisionGuard AI</w:t>
      </w:r>
    </w:p>
    <w:p>
      <w:pPr>
        <w:keepNext w:val="0"/>
        <w:spacing w:before="0" w:after="360" w:line="324" w:lineRule="auto"/>
        <w:jc w:val="center"/>
      </w:pPr>
      <w:r>
        <w:rPr>
          <w:rFonts w:ascii="Aptos" w:hAnsi="Aptos" w:eastAsia="Microsoft YaHei"/>
          <w:b/>
          <w:color w:val="102E46"/>
          <w:sz w:val="30"/>
        </w:rPr>
        <w:t>面向工业安全场景的多模态视觉风险智能体</w:t>
      </w: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E7F8F4"/>
          </w:tcPr>
          <w:p>
            <w:pPr>
              <w:keepNext w:val="0"/>
              <w:spacing w:before="40" w:after="40" w:line="312" w:lineRule="auto"/>
            </w:pPr>
            <w:r>
              <w:rPr>
                <w:rFonts w:ascii="Aptos" w:hAnsi="Aptos" w:eastAsia="Microsoft YaHei"/>
                <w:b/>
                <w:color w:val="35D0BA"/>
                <w:sz w:val="20"/>
              </w:rPr>
              <w:t xml:space="preserve">一句话竞争定位  </w:t>
            </w:r>
            <w:r>
              <w:rPr>
                <w:rFonts w:ascii="Aptos" w:hAnsi="Aptos" w:eastAsia="Microsoft YaHei"/>
                <w:b w:val="0"/>
                <w:color w:val="1B2530"/>
                <w:sz w:val="20"/>
              </w:rPr>
              <w:t>以专业视觉取证保证可信感知，以智能体任务编排连接业务流程，以知识增强推理实现可解释风险分析。</w:t>
            </w:r>
          </w:p>
        </w:tc>
      </w:tr>
    </w:tbl>
    <w:p>
      <w:pPr>
        <w:keepNext w:val="0"/>
        <w:spacing w:before="0" w:after="40" w:line="324" w:lineRule="auto"/>
      </w:pPr>
    </w:p>
    <w:p>
      <w:pPr>
        <w:keepNext w:val="0"/>
        <w:spacing w:before="0" w:after="440" w:line="324" w:lineRule="auto"/>
        <w:jc w:val="center"/>
      </w:pPr>
      <w:r>
        <w:rPr>
          <w:rFonts w:ascii="Aptos" w:hAnsi="Aptos" w:eastAsia="Microsoft YaHei"/>
          <w:b/>
          <w:color w:val="092238"/>
          <w:sz w:val="34"/>
        </w:rPr>
        <w:t>应用方案</w:t>
      </w:r>
    </w:p>
    <w:p>
      <w:pPr>
        <w:keepNext w:val="0"/>
        <w:spacing w:before="0" w:after="120" w:line="324" w:lineRule="auto"/>
        <w:jc w:val="center"/>
      </w:pPr>
      <w:r>
        <w:rPr>
          <w:rFonts w:ascii="Aptos" w:hAnsi="Aptos" w:eastAsia="Microsoft YaHei"/>
          <w:b w:val="0"/>
          <w:color w:val="667784"/>
          <w:sz w:val="21"/>
        </w:rPr>
        <w:t>项目团队：____________________</w:t>
      </w:r>
    </w:p>
    <w:p>
      <w:pPr>
        <w:keepNext w:val="0"/>
        <w:spacing w:before="0" w:after="120" w:line="324" w:lineRule="auto"/>
        <w:jc w:val="center"/>
      </w:pPr>
      <w:r>
        <w:rPr>
          <w:rFonts w:ascii="Aptos" w:hAnsi="Aptos" w:eastAsia="Microsoft YaHei"/>
          <w:b w:val="0"/>
          <w:color w:val="667784"/>
          <w:sz w:val="21"/>
        </w:rPr>
        <w:t>所在学校：____________________</w:t>
      </w:r>
    </w:p>
    <w:p>
      <w:pPr>
        <w:keepNext w:val="0"/>
        <w:spacing w:before="0" w:after="240" w:line="324" w:lineRule="auto"/>
        <w:jc w:val="center"/>
      </w:pPr>
      <w:r>
        <w:rPr>
          <w:rFonts w:ascii="Aptos" w:hAnsi="Aptos" w:eastAsia="Microsoft YaHei"/>
          <w:b w:val="0"/>
          <w:color w:val="667784"/>
          <w:sz w:val="21"/>
        </w:rPr>
        <w:t>提交日期：2026年____月____日</w:t>
      </w:r>
    </w:p>
    <w:p>
      <w:r>
        <w:br w:type="page"/>
      </w:r>
    </w:p>
    <w:p>
      <w:pPr>
        <w:pStyle w:val="Heading1"/>
        <w:keepNext/>
        <w:spacing w:before="200" w:after="120" w:line="276" w:lineRule="auto"/>
      </w:pPr>
      <w:r>
        <w:rPr>
          <w:rFonts w:ascii="Aptos" w:hAnsi="Aptos" w:eastAsia="Microsoft YaHei"/>
          <w:b/>
          <w:color w:val="092238"/>
          <w:sz w:val="32"/>
        </w:rPr>
        <w:t>一、项目摘要与核心价值</w:t>
      </w: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E7F8F4"/>
          </w:tcPr>
          <w:p>
            <w:pPr>
              <w:keepNext w:val="0"/>
              <w:spacing w:before="40" w:after="40" w:line="312" w:lineRule="auto"/>
            </w:pPr>
            <w:r>
              <w:rPr>
                <w:rFonts w:ascii="Aptos" w:hAnsi="Aptos" w:eastAsia="Microsoft YaHei"/>
                <w:b/>
                <w:color w:val="35D0BA"/>
                <w:sz w:val="20"/>
              </w:rPr>
              <w:t xml:space="preserve">核心判断  </w:t>
            </w:r>
            <w:r>
              <w:rPr>
                <w:rFonts w:ascii="Aptos" w:hAnsi="Aptos" w:eastAsia="Microsoft YaHei"/>
                <w:b w:val="0"/>
                <w:color w:val="1B2530"/>
                <w:sz w:val="20"/>
              </w:rPr>
              <w:t>当前工业安全领域的关键矛盾，正从“机器能否看见风险”转向“机器能否理解风险、说明依据并辅助人员行动”。</w:t>
            </w:r>
          </w:p>
        </w:tc>
      </w:tr>
    </w:tbl>
    <w:p>
      <w:pPr>
        <w:keepNext w:val="0"/>
        <w:spacing w:before="0" w:after="40" w:line="324" w:lineRule="auto"/>
      </w:pPr>
    </w:p>
    <w:p>
      <w:pPr>
        <w:keepNext w:val="0"/>
        <w:spacing w:before="0" w:after="120" w:line="324" w:lineRule="auto"/>
      </w:pPr>
      <w:r>
        <w:rPr>
          <w:rFonts w:ascii="Aptos" w:hAnsi="Aptos" w:eastAsia="Microsoft YaHei"/>
          <w:b w:val="0"/>
          <w:color w:val="1B2530"/>
          <w:sz w:val="21"/>
        </w:rPr>
        <w:t>工业现场摄像头和视觉算法能够持续产生图像、目标框与置信度，但企业真正需要的是把这些机器信号转化为可核查的风险判断：发生了什么、证据在哪里、依据是什么、下一步应如何核查。传统视觉报警往往停留在“发现异常”，通用聊天模型又难以保证目标定位、判断一致性和行业依据。VisionGuard AI由此提出一种面向工业安全的视觉智能体产品路径。</w:t>
      </w:r>
    </w:p>
    <w:p>
      <w:pPr>
        <w:keepNext w:val="0"/>
        <w:spacing w:before="0" w:after="120" w:line="324" w:lineRule="auto"/>
      </w:pPr>
      <w:r>
        <w:rPr>
          <w:rFonts w:ascii="Aptos" w:hAnsi="Aptos" w:eastAsia="Microsoft YaHei"/>
          <w:b w:val="0"/>
          <w:color w:val="1B2530"/>
          <w:sz w:val="21"/>
        </w:rPr>
        <w:t>VisionGuard AI不是单一火焰检测系统，而是以专业视觉模型为感知工具、以大语言模型为认知引擎、以智能体为任务中枢的工业安全视觉分析与风险辅助决策平台。用户上传现场图片并描述任务后，系统自主规划并调用视觉检测、知识检索、风险分析、受约束解释和报告生成工具，输出包含检测位置、模型信息、知识依据、风险等级、建议动作和人工复核边界的结构化报告。</w:t>
      </w:r>
    </w:p>
    <w:tbl>
      <w:tblPr>
        <w:tblStyle w:val="TableGrid"/>
        <w:tblW w:type="dxa" w:w="9014"/>
        <w:tblLayout w:type="fixed"/>
        <w:tblLook w:firstColumn="1" w:firstRow="1" w:lastColumn="0" w:lastRow="0" w:noHBand="0" w:noVBand="1" w:val="04A0"/>
        <w:jc w:val="center"/>
        <w:tblInd w:w="120" w:type="dxa"/>
      </w:tblPr>
      <w:tblGrid>
        <w:gridCol w:w="1700"/>
        <w:gridCol w:w="3231"/>
        <w:gridCol w:w="4081"/>
      </w:tblGrid>
      <w:tr>
        <w:trPr>
          <w:cantSplit w:val="true"/>
          <w:tblHeader w:val="true"/>
        </w:trPr>
        <w:tc>
          <w:tcPr>
            <w:tcW w:type="dxa" w:w="1700"/>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产品要素</w:t>
            </w:r>
          </w:p>
        </w:tc>
        <w:tc>
          <w:tcPr>
            <w:tcW w:type="dxa" w:w="323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承担角色</w:t>
            </w:r>
          </w:p>
        </w:tc>
        <w:tc>
          <w:tcPr>
            <w:tcW w:type="dxa" w:w="40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核心产出</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专业视觉模型</w:t>
            </w:r>
          </w:p>
        </w:tc>
        <w:tc>
          <w:tcPr>
            <w:tcW w:type="dxa" w:w="323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负责“看见”并定位风险目标</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检测框、类别、置信度、模型/阈值/耗时</w:t>
            </w:r>
          </w:p>
        </w:tc>
      </w:tr>
      <w:tr>
        <w:trPr>
          <w:cantSplit w:val="true"/>
        </w:trPr>
        <w:tc>
          <w:tcPr>
            <w:tcW w:type="dxa" w:w="170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大语言模型</w:t>
            </w:r>
          </w:p>
        </w:tc>
        <w:tc>
          <w:tcPr>
            <w:tcW w:type="dxa" w:w="323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负责理解任务并解释已有证据</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基于视觉与知识编号的风险说明</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VisionGuard Agent</w:t>
            </w:r>
          </w:p>
        </w:tc>
        <w:tc>
          <w:tcPr>
            <w:tcW w:type="dxa" w:w="323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负责任务规划、工具调用与异常处理</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完整调用轨迹、回退状态和结果组织</w:t>
            </w:r>
          </w:p>
        </w:tc>
      </w:tr>
      <w:tr>
        <w:trPr>
          <w:cantSplit w:val="true"/>
        </w:trPr>
        <w:tc>
          <w:tcPr>
            <w:tcW w:type="dxa" w:w="170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安全知识增强</w:t>
            </w:r>
          </w:p>
        </w:tc>
        <w:tc>
          <w:tcPr>
            <w:tcW w:type="dxa" w:w="323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为结论提供法规与专业依据</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条款、版本、来源、相关度和适用边界</w:t>
            </w:r>
          </w:p>
        </w:tc>
      </w:tr>
    </w:tbl>
    <w:p>
      <w:pPr>
        <w:keepNext w:val="0"/>
        <w:spacing w:before="0" w:after="40" w:line="324" w:lineRule="auto"/>
      </w:pPr>
    </w:p>
    <w:p>
      <w:pPr>
        <w:keepNext w:val="0"/>
        <w:spacing w:before="0" w:after="120" w:line="324" w:lineRule="auto"/>
      </w:pPr>
      <w:r>
        <w:rPr>
          <w:rFonts w:ascii="Aptos" w:hAnsi="Aptos" w:eastAsia="Microsoft YaHei"/>
          <w:b w:val="0"/>
          <w:color w:val="1B2530"/>
          <w:sz w:val="21"/>
        </w:rPr>
        <w:t>项目核心价值不是替代现有监控与安全管理制度，而是在监控“看见异常”与人员“采取行动”之间增加可信认知层，使异常发现、证据核查、风险理解和报告输出形成闭环。</w:t>
      </w:r>
    </w:p>
    <w:p>
      <w:pPr>
        <w:pStyle w:val="Heading1"/>
        <w:keepNext/>
        <w:spacing w:before="200" w:after="120" w:line="276" w:lineRule="auto"/>
      </w:pPr>
      <w:r>
        <w:rPr>
          <w:rFonts w:ascii="Aptos" w:hAnsi="Aptos" w:eastAsia="Microsoft YaHei"/>
          <w:b/>
          <w:color w:val="092238"/>
          <w:sz w:val="32"/>
        </w:rPr>
        <w:t>二、项目背景、行业痛点与必要性</w:t>
      </w:r>
    </w:p>
    <w:p>
      <w:pPr>
        <w:pStyle w:val="Heading2"/>
        <w:keepNext/>
        <w:spacing w:before="140" w:after="80" w:line="276" w:lineRule="auto"/>
      </w:pPr>
      <w:r>
        <w:rPr>
          <w:rFonts w:ascii="Aptos" w:hAnsi="Aptos" w:eastAsia="Microsoft YaHei"/>
          <w:b/>
          <w:color w:val="092238"/>
          <w:sz w:val="26"/>
        </w:rPr>
        <w:t>（一）为什么选择工业安全</w:t>
      </w:r>
    </w:p>
    <w:p>
      <w:pPr>
        <w:keepNext w:val="0"/>
        <w:spacing w:before="0" w:after="120" w:line="324" w:lineRule="auto"/>
      </w:pPr>
      <w:r>
        <w:rPr>
          <w:rFonts w:ascii="Aptos" w:hAnsi="Aptos" w:eastAsia="Microsoft YaHei"/>
          <w:b w:val="0"/>
          <w:color w:val="1B2530"/>
          <w:sz w:val="21"/>
        </w:rPr>
        <w:t>工业安全具有高风险、高价值和强解释需求。一条错误或缺乏依据的结论可能造成误处置，而真正的风险又必须尽早进入人工核查流程。这使工业安全成为智能体落地的典型场景：系统不仅要给答案，更要提供可定位证据、知识出处、判断边界和人工复核机制。</w:t>
      </w:r>
    </w:p>
    <w:p>
      <w:pPr>
        <w:pStyle w:val="Heading2"/>
        <w:keepNext/>
        <w:spacing w:before="140" w:after="80" w:line="276" w:lineRule="auto"/>
      </w:pPr>
      <w:r>
        <w:rPr>
          <w:rFonts w:ascii="Aptos" w:hAnsi="Aptos" w:eastAsia="Microsoft YaHei"/>
          <w:b/>
          <w:color w:val="092238"/>
          <w:sz w:val="26"/>
        </w:rPr>
        <w:t>（二）现有监管链路的四个断点</w:t>
      </w:r>
    </w:p>
    <w:tbl>
      <w:tblPr>
        <w:tblStyle w:val="TableGrid"/>
        <w:tblW w:type="dxa" w:w="9014"/>
        <w:tblLayout w:type="fixed"/>
        <w:tblLook w:firstColumn="1" w:firstRow="1" w:lastColumn="0" w:lastRow="0" w:noHBand="0" w:noVBand="1" w:val="04A0"/>
        <w:jc w:val="center"/>
        <w:tblInd w:w="120" w:type="dxa"/>
      </w:tblPr>
      <w:tblGrid>
        <w:gridCol w:w="1700"/>
        <w:gridCol w:w="3968"/>
        <w:gridCol w:w="3344"/>
      </w:tblGrid>
      <w:tr>
        <w:trPr>
          <w:cantSplit w:val="true"/>
          <w:tblHeader w:val="true"/>
        </w:trPr>
        <w:tc>
          <w:tcPr>
            <w:tcW w:type="dxa" w:w="1700"/>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断点</w:t>
            </w:r>
          </w:p>
        </w:tc>
        <w:tc>
          <w:tcPr>
            <w:tcW w:type="dxa" w:w="3968"/>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现实表现</w:t>
            </w:r>
          </w:p>
        </w:tc>
        <w:tc>
          <w:tcPr>
            <w:tcW w:type="dxa" w:w="334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直接影响</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感知结果碎片化</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算法输出类别、检测框与置信度，缺少任务语境</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安全人员需要重新解释和整理</w:t>
            </w:r>
          </w:p>
        </w:tc>
      </w:tr>
      <w:tr>
        <w:trPr>
          <w:cantSplit w:val="true"/>
        </w:trPr>
        <w:tc>
          <w:tcPr>
            <w:tcW w:type="dxa" w:w="170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视觉与知识割裂</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检测结果无法直接关联安全法规、制度和核查要求</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处置依据依赖个人经验</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大模型缺乏约束</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纯多模态大模型可能出现位置不稳定、引用无依据</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难以用于高风险业务</w:t>
            </w:r>
          </w:p>
        </w:tc>
      </w:tr>
      <w:tr>
        <w:trPr>
          <w:cantSplit w:val="true"/>
        </w:trPr>
        <w:tc>
          <w:tcPr>
            <w:tcW w:type="dxa" w:w="170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过程不可追溯</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报警、解释、建议和报告分散</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复核、培训和责任追踪成本高</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（三）需求分析</w:t>
      </w:r>
    </w:p>
    <w:p>
      <w:pPr>
        <w:pStyle w:val="ListBullet"/>
        <w:keepNext w:val="0"/>
        <w:spacing w:before="0" w:after="60" w:line="307" w:lineRule="auto"/>
      </w:pPr>
      <w:r>
        <w:rPr>
          <w:rFonts w:ascii="Aptos" w:hAnsi="Aptos" w:eastAsia="Microsoft YaHei"/>
          <w:b w:val="0"/>
          <w:color w:val="1B2530"/>
          <w:sz w:val="20"/>
        </w:rPr>
        <w:t>可信感知：保留目标位置和模型元数据，使视觉结果可以核查。</w:t>
      </w:r>
    </w:p>
    <w:p>
      <w:pPr>
        <w:pStyle w:val="ListBullet"/>
        <w:keepNext w:val="0"/>
        <w:spacing w:before="0" w:after="60" w:line="307" w:lineRule="auto"/>
      </w:pPr>
      <w:r>
        <w:rPr>
          <w:rFonts w:ascii="Aptos" w:hAnsi="Aptos" w:eastAsia="Microsoft YaHei"/>
          <w:b w:val="0"/>
          <w:color w:val="1B2530"/>
          <w:sz w:val="20"/>
        </w:rPr>
        <w:t>任务驱动：用户以自然语言表达分析意图，系统自动选择和组织工具。</w:t>
      </w:r>
    </w:p>
    <w:p>
      <w:pPr>
        <w:pStyle w:val="ListBullet"/>
        <w:keepNext w:val="0"/>
        <w:spacing w:before="0" w:after="60" w:line="307" w:lineRule="auto"/>
      </w:pPr>
      <w:r>
        <w:rPr>
          <w:rFonts w:ascii="Aptos" w:hAnsi="Aptos" w:eastAsia="Microsoft YaHei"/>
          <w:b w:val="0"/>
          <w:color w:val="1B2530"/>
          <w:sz w:val="20"/>
        </w:rPr>
        <w:t>专业解释：结论必须引用本次视觉证据和检索到的知识依据。</w:t>
      </w:r>
    </w:p>
    <w:p>
      <w:pPr>
        <w:pStyle w:val="ListBullet"/>
        <w:keepNext w:val="0"/>
        <w:spacing w:before="0" w:after="60" w:line="307" w:lineRule="auto"/>
      </w:pPr>
      <w:r>
        <w:rPr>
          <w:rFonts w:ascii="Aptos" w:hAnsi="Aptos" w:eastAsia="Microsoft YaHei"/>
          <w:b w:val="0"/>
          <w:color w:val="1B2530"/>
          <w:sz w:val="20"/>
        </w:rPr>
        <w:t>边界清晰：模型分歧、证据不足与未检出均须显式提示，不把辅助分析写成事故认定。</w:t>
      </w:r>
    </w:p>
    <w:p>
      <w:pPr>
        <w:pStyle w:val="ListBullet"/>
        <w:keepNext w:val="0"/>
        <w:spacing w:before="0" w:after="60" w:line="307" w:lineRule="auto"/>
      </w:pPr>
      <w:r>
        <w:rPr>
          <w:rFonts w:ascii="Aptos" w:hAnsi="Aptos" w:eastAsia="Microsoft YaHei"/>
          <w:b w:val="0"/>
          <w:color w:val="1B2530"/>
          <w:sz w:val="20"/>
        </w:rPr>
        <w:t>结果可用：从同一页面完成上传、分析、追问和报告导出，降低使用门槛。</w:t>
      </w:r>
    </w:p>
    <w:p>
      <w:pPr>
        <w:pStyle w:val="Heading1"/>
        <w:keepNext/>
        <w:spacing w:before="200" w:after="120" w:line="276" w:lineRule="auto"/>
      </w:pPr>
      <w:r>
        <w:rPr>
          <w:rFonts w:ascii="Aptos" w:hAnsi="Aptos" w:eastAsia="Microsoft YaHei"/>
          <w:b/>
          <w:color w:val="092238"/>
          <w:sz w:val="32"/>
        </w:rPr>
        <w:t>三、产品定位、目标用户与应用场景</w:t>
      </w: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E7F8F4"/>
          </w:tcPr>
          <w:p>
            <w:pPr>
              <w:keepNext w:val="0"/>
              <w:spacing w:before="40" w:after="40" w:line="312" w:lineRule="auto"/>
            </w:pPr>
            <w:r>
              <w:rPr>
                <w:rFonts w:ascii="Aptos" w:hAnsi="Aptos" w:eastAsia="Microsoft YaHei"/>
                <w:b/>
                <w:color w:val="35D0BA"/>
                <w:sz w:val="20"/>
              </w:rPr>
              <w:t xml:space="preserve">产品定位  </w:t>
            </w:r>
            <w:r>
              <w:rPr>
                <w:rFonts w:ascii="Aptos" w:hAnsi="Aptos" w:eastAsia="Microsoft YaHei"/>
                <w:b w:val="0"/>
                <w:color w:val="1B2530"/>
                <w:sz w:val="20"/>
              </w:rPr>
              <w:t>面向工业安全领域“感知智能化、分析智能化、决策辅助化”的新一代视觉风险智能体应用。</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（一）目标用户</w:t>
      </w:r>
    </w:p>
    <w:tbl>
      <w:tblPr>
        <w:tblStyle w:val="TableGrid"/>
        <w:tblW w:type="dxa" w:w="9014"/>
        <w:tblLayout w:type="fixed"/>
        <w:tblLook w:firstColumn="1" w:firstRow="1" w:lastColumn="0" w:lastRow="0" w:noHBand="0" w:noVBand="1" w:val="04A0"/>
        <w:jc w:val="center"/>
        <w:tblInd w:w="120" w:type="dxa"/>
      </w:tblPr>
      <w:tblGrid>
        <w:gridCol w:w="1814"/>
        <w:gridCol w:w="4081"/>
        <w:gridCol w:w="3118"/>
      </w:tblGrid>
      <w:tr>
        <w:trPr>
          <w:cantSplit w:val="true"/>
          <w:tblHeader w:val="true"/>
        </w:trPr>
        <w:tc>
          <w:tcPr>
            <w:tcW w:type="dxa" w:w="181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用户角色</w:t>
            </w:r>
          </w:p>
        </w:tc>
        <w:tc>
          <w:tcPr>
            <w:tcW w:type="dxa" w:w="40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典型任务</w:t>
            </w:r>
          </w:p>
        </w:tc>
        <w:tc>
          <w:tcPr>
            <w:tcW w:type="dxa" w:w="3118"/>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核心收益</w:t>
            </w:r>
          </w:p>
        </w:tc>
      </w:tr>
      <w:tr>
        <w:trPr>
          <w:cantSplit w:val="true"/>
        </w:trPr>
        <w:tc>
          <w:tcPr>
            <w:tcW w:type="dxa" w:w="18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制造企业安全管理人员</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核查巡检图片、判断火焰/烟雾风险、形成记录</w:t>
            </w:r>
          </w:p>
        </w:tc>
        <w:tc>
          <w:tcPr>
            <w:tcW w:type="dxa" w:w="311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减少信息整理时间，获得可追溯依据</w:t>
            </w:r>
          </w:p>
        </w:tc>
      </w:tr>
      <w:tr>
        <w:trPr>
          <w:cantSplit w:val="true"/>
        </w:trPr>
        <w:tc>
          <w:tcPr>
            <w:tcW w:type="dxa" w:w="18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园区与仓储管理人员</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对上报图片进行初步研判并分派人工核查</w:t>
            </w:r>
          </w:p>
        </w:tc>
        <w:tc>
          <w:tcPr>
            <w:tcW w:type="dxa" w:w="311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统一分析口径，降低沟通成本</w:t>
            </w:r>
          </w:p>
        </w:tc>
      </w:tr>
      <w:tr>
        <w:trPr>
          <w:cantSplit w:val="true"/>
        </w:trPr>
        <w:tc>
          <w:tcPr>
            <w:tcW w:type="dxa" w:w="18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设备运维与班组负责人</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上传异常现场图片，了解风险原因与建议动作</w:t>
            </w:r>
          </w:p>
        </w:tc>
        <w:tc>
          <w:tcPr>
            <w:tcW w:type="dxa" w:w="311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快速理解检测结果与使用边界</w:t>
            </w:r>
          </w:p>
        </w:tc>
      </w:tr>
      <w:tr>
        <w:trPr>
          <w:cantSplit w:val="true"/>
        </w:trPr>
        <w:tc>
          <w:tcPr>
            <w:tcW w:type="dxa" w:w="18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安全培训与教学人员</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使用开放授权案例演示智能分析链路</w:t>
            </w:r>
          </w:p>
        </w:tc>
        <w:tc>
          <w:tcPr>
            <w:tcW w:type="dxa" w:w="311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展示“感知-推理-报告”全过程</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（二）典型应用场景</w:t>
      </w:r>
    </w:p>
    <w:p>
      <w:pPr>
        <w:pStyle w:val="ListBullet"/>
        <w:keepNext w:val="0"/>
        <w:spacing w:before="0" w:after="60" w:line="307" w:lineRule="auto"/>
      </w:pPr>
      <w:r>
        <w:rPr>
          <w:rFonts w:ascii="Aptos" w:hAnsi="Aptos" w:eastAsia="Microsoft YaHei"/>
          <w:b w:val="0"/>
          <w:color w:val="1B2530"/>
          <w:sz w:val="20"/>
        </w:rPr>
        <w:t>仓储区域安全巡检：上传巡检图片，识别疑似火焰或烟雾并生成核查报告。</w:t>
      </w:r>
    </w:p>
    <w:p>
      <w:pPr>
        <w:pStyle w:val="ListBullet"/>
        <w:keepNext w:val="0"/>
        <w:spacing w:before="0" w:after="60" w:line="307" w:lineRule="auto"/>
      </w:pPr>
      <w:r>
        <w:rPr>
          <w:rFonts w:ascii="Aptos" w:hAnsi="Aptos" w:eastAsia="Microsoft YaHei"/>
          <w:b w:val="0"/>
          <w:color w:val="1B2530"/>
          <w:sz w:val="20"/>
        </w:rPr>
        <w:t>制造车间异常复核：针对员工上报图片，定位候选风险并检索适用安全知识。</w:t>
      </w:r>
    </w:p>
    <w:p>
      <w:pPr>
        <w:pStyle w:val="ListBullet"/>
        <w:keepNext w:val="0"/>
        <w:spacing w:before="0" w:after="60" w:line="307" w:lineRule="auto"/>
      </w:pPr>
      <w:r>
        <w:rPr>
          <w:rFonts w:ascii="Aptos" w:hAnsi="Aptos" w:eastAsia="Microsoft YaHei"/>
          <w:b w:val="0"/>
          <w:color w:val="1B2530"/>
          <w:sz w:val="20"/>
        </w:rPr>
        <w:t>园区远程辅助研判：由集中管理人员基于结构化证据进行初步分级和任务转派。</w:t>
      </w:r>
    </w:p>
    <w:p>
      <w:pPr>
        <w:pStyle w:val="ListBullet"/>
        <w:keepNext w:val="0"/>
        <w:spacing w:before="0" w:after="60" w:line="307" w:lineRule="auto"/>
      </w:pPr>
      <w:r>
        <w:rPr>
          <w:rFonts w:ascii="Aptos" w:hAnsi="Aptos" w:eastAsia="Microsoft YaHei"/>
          <w:b w:val="0"/>
          <w:color w:val="1B2530"/>
          <w:sz w:val="20"/>
        </w:rPr>
        <w:t>安全培训与应急演练：使用可复现案例讲解模型分歧、证据不足和人工复核边界。</w:t>
      </w:r>
    </w:p>
    <w:p>
      <w:pPr>
        <w:pStyle w:val="Heading2"/>
        <w:keepNext/>
        <w:spacing w:before="140" w:after="80" w:line="276" w:lineRule="auto"/>
      </w:pPr>
      <w:r>
        <w:rPr>
          <w:rFonts w:ascii="Aptos" w:hAnsi="Aptos" w:eastAsia="Microsoft YaHei"/>
          <w:b/>
          <w:color w:val="092238"/>
          <w:sz w:val="26"/>
        </w:rPr>
        <w:t>（三）项目愿景</w:t>
      </w:r>
    </w:p>
    <w:p>
      <w:pPr>
        <w:keepNext w:val="0"/>
        <w:spacing w:before="0" w:after="120" w:line="324" w:lineRule="auto"/>
      </w:pPr>
      <w:r>
        <w:rPr>
          <w:rFonts w:ascii="Aptos" w:hAnsi="Aptos" w:eastAsia="Microsoft YaHei"/>
          <w:b w:val="0"/>
          <w:color w:val="1B2530"/>
          <w:sz w:val="21"/>
        </w:rPr>
        <w:t>未来可作为工业安全视觉智能体基础平台，服务制造企业、园区管理和设备运维场景。平台通过标准化工具接口逐步接入更多专业视觉能力和企业知识，不追求用一个大模型包办所有任务，而是让专业模型、行业知识与智能体在可审计框架中协同。</w:t>
      </w:r>
    </w:p>
    <w:p>
      <w:pPr>
        <w:pStyle w:val="Heading1"/>
        <w:keepNext/>
        <w:spacing w:before="200" w:after="120" w:line="276" w:lineRule="auto"/>
      </w:pPr>
      <w:r>
        <w:rPr>
          <w:rFonts w:ascii="Aptos" w:hAnsi="Aptos" w:eastAsia="Microsoft YaHei"/>
          <w:b/>
          <w:color w:val="092238"/>
          <w:sz w:val="32"/>
        </w:rPr>
        <w:t>四、应用方案与产品闭环</w:t>
      </w:r>
    </w:p>
    <w:p>
      <w:pPr>
        <w:keepNext w:val="0"/>
        <w:spacing w:before="0" w:after="60" w:line="324" w:lineRule="auto"/>
        <w:jc w:val="center"/>
      </w:pPr>
      <w:r>
        <w:drawing>
          <wp:inline xmlns:a="http://schemas.openxmlformats.org/drawingml/2006/main" xmlns:pic="http://schemas.openxmlformats.org/drawingml/2006/picture">
            <wp:extent cx="5724000" cy="2218050"/>
            <wp:docPr id="2" name="Picture 2" descr="图1  从视觉报警到工业视觉智能体的技术路线演进" title="图1  从视觉报警到工业视觉智能体的技术路线演进"/>
            <wp:cNvGraphicFramePr>
              <a:graphicFrameLocks noChangeAspect="1"/>
            </wp:cNvGraphicFramePr>
            <a:graphic>
              <a:graphicData uri="http://schemas.openxmlformats.org/drawingml/2006/picture">
                <pic:pic>
                  <pic:nvPicPr>
                    <pic:cNvPr id="0" name="evolution.png"/>
                    <pic:cNvPicPr/>
                  </pic:nvPicPr>
                  <pic:blipFill>
                    <a:blip r:embed="rId12"/>
                    <a:stretch>
                      <a:fillRect/>
                    </a:stretch>
                  </pic:blipFill>
                  <pic:spPr>
                    <a:xfrm>
                      <a:off x="0" y="0"/>
                      <a:ext cx="5724000" cy="2218050"/>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图1  从视觉报警到工业视觉智能体的技术路线演进</w:t>
      </w:r>
    </w:p>
    <w:p>
      <w:pPr>
        <w:pStyle w:val="Heading2"/>
        <w:keepNext/>
        <w:spacing w:before="140" w:after="80" w:line="276" w:lineRule="auto"/>
      </w:pPr>
      <w:r>
        <w:rPr>
          <w:rFonts w:ascii="Aptos" w:hAnsi="Aptos" w:eastAsia="Microsoft YaHei"/>
          <w:b/>
          <w:color w:val="092238"/>
          <w:sz w:val="26"/>
        </w:rPr>
        <w:t>（一）解决方案</w:t>
      </w:r>
    </w:p>
    <w:p>
      <w:pPr>
        <w:keepNext w:val="0"/>
        <w:spacing w:before="0" w:after="120" w:line="324" w:lineRule="auto"/>
      </w:pPr>
      <w:r>
        <w:rPr>
          <w:rFonts w:ascii="Aptos" w:hAnsi="Aptos" w:eastAsia="Microsoft YaHei"/>
          <w:b w:val="0"/>
          <w:color w:val="1B2530"/>
          <w:sz w:val="21"/>
        </w:rPr>
        <w:t>VisionGuard AI把传统“图片→检测结果”的单点流程扩展为“用户任务→Agent规划→专业视觉取证→知识增强→风险研判→受约束解释→报告生成”的任务闭环。专业模型负责产生可验证证据，大模型只在证据和知识范围内解释，Agent负责组织工具、处理异常并保留过程。</w:t>
      </w:r>
    </w:p>
    <w:p>
      <w:pPr>
        <w:keepNext w:val="0"/>
        <w:spacing w:before="0" w:after="60" w:line="324" w:lineRule="auto"/>
        <w:jc w:val="center"/>
      </w:pPr>
      <w:r>
        <w:drawing>
          <wp:inline xmlns:a="http://schemas.openxmlformats.org/drawingml/2006/main" xmlns:pic="http://schemas.openxmlformats.org/drawingml/2006/picture">
            <wp:extent cx="5724000" cy="2289600"/>
            <wp:docPr id="3" name="Picture 3" descr="图2  VisionGuard AI任务闭环" title="图2  VisionGuard AI任务闭环"/>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24000" cy="2289600"/>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图2  VisionGuard AI任务闭环</w:t>
      </w:r>
    </w:p>
    <w:p>
      <w:pPr>
        <w:pStyle w:val="Heading2"/>
        <w:keepNext/>
        <w:spacing w:before="140" w:after="80" w:line="276" w:lineRule="auto"/>
      </w:pPr>
      <w:r>
        <w:rPr>
          <w:rFonts w:ascii="Aptos" w:hAnsi="Aptos" w:eastAsia="Microsoft YaHei"/>
          <w:b/>
          <w:color w:val="092238"/>
          <w:sz w:val="26"/>
        </w:rPr>
        <w:t>（二）典型工作流程</w:t>
      </w:r>
    </w:p>
    <w:p>
      <w:pPr>
        <w:pStyle w:val="ListNumber"/>
        <w:keepNext w:val="0"/>
        <w:spacing w:before="0" w:after="80" w:line="307" w:lineRule="auto"/>
      </w:pPr>
      <w:r>
        <w:rPr>
          <w:rFonts w:ascii="Aptos" w:hAnsi="Aptos" w:eastAsia="Microsoft YaHei"/>
          <w:b w:val="0"/>
          <w:color w:val="1B2530"/>
          <w:sz w:val="20"/>
        </w:rPr>
        <w:t>用户上传工业现场图片，并用自然语言说明分析目标。</w:t>
      </w:r>
    </w:p>
    <w:p>
      <w:pPr>
        <w:pStyle w:val="ListNumber"/>
        <w:keepNext w:val="0"/>
        <w:spacing w:before="0" w:after="80" w:line="307" w:lineRule="auto"/>
      </w:pPr>
      <w:r>
        <w:rPr>
          <w:rFonts w:ascii="Aptos" w:hAnsi="Aptos" w:eastAsia="Microsoft YaHei"/>
          <w:b w:val="0"/>
          <w:color w:val="1B2530"/>
          <w:sz w:val="20"/>
        </w:rPr>
        <w:t>Agent识别任务意图，生成显式工具序列与安全约束。</w:t>
      </w:r>
    </w:p>
    <w:p>
      <w:pPr>
        <w:pStyle w:val="ListNumber"/>
        <w:keepNext w:val="0"/>
        <w:spacing w:before="0" w:after="80" w:line="307" w:lineRule="auto"/>
      </w:pPr>
      <w:r>
        <w:rPr>
          <w:rFonts w:ascii="Aptos" w:hAnsi="Aptos" w:eastAsia="Microsoft YaHei"/>
          <w:b w:val="0"/>
          <w:color w:val="1B2530"/>
          <w:sz w:val="20"/>
        </w:rPr>
        <w:t>视觉工具调用YOLO等专业模型，输出检测框和结构化视觉证据。</w:t>
      </w:r>
    </w:p>
    <w:p>
      <w:pPr>
        <w:pStyle w:val="ListNumber"/>
        <w:keepNext w:val="0"/>
        <w:spacing w:before="0" w:after="80" w:line="307" w:lineRule="auto"/>
      </w:pPr>
      <w:r>
        <w:rPr>
          <w:rFonts w:ascii="Aptos" w:hAnsi="Aptos" w:eastAsia="Microsoft YaHei"/>
          <w:b w:val="0"/>
          <w:color w:val="1B2530"/>
          <w:sz w:val="20"/>
        </w:rPr>
        <w:t>火情分类分支进行整图确认，并与目标定位证据形成融合状态。</w:t>
      </w:r>
    </w:p>
    <w:p>
      <w:pPr>
        <w:pStyle w:val="ListNumber"/>
        <w:keepNext w:val="0"/>
        <w:spacing w:before="0" w:after="80" w:line="307" w:lineRule="auto"/>
      </w:pPr>
      <w:r>
        <w:rPr>
          <w:rFonts w:ascii="Aptos" w:hAnsi="Aptos" w:eastAsia="Microsoft YaHei"/>
          <w:b w:val="0"/>
          <w:color w:val="1B2530"/>
          <w:sz w:val="20"/>
        </w:rPr>
        <w:t>知识模块按风险类别执行可解释混合RAG，返回条款、来源与适用边界。</w:t>
      </w:r>
    </w:p>
    <w:p>
      <w:pPr>
        <w:pStyle w:val="ListNumber"/>
        <w:keepNext w:val="0"/>
        <w:spacing w:before="0" w:after="80" w:line="307" w:lineRule="auto"/>
      </w:pPr>
      <w:r>
        <w:rPr>
          <w:rFonts w:ascii="Aptos" w:hAnsi="Aptos" w:eastAsia="Microsoft YaHei"/>
          <w:b w:val="0"/>
          <w:color w:val="1B2530"/>
          <w:sz w:val="20"/>
        </w:rPr>
        <w:t>风险模块综合证据形成等级，语言模型在编号约束下解释风险。</w:t>
      </w:r>
    </w:p>
    <w:p>
      <w:pPr>
        <w:pStyle w:val="ListNumber"/>
        <w:keepNext w:val="0"/>
        <w:spacing w:before="0" w:after="80" w:line="307" w:lineRule="auto"/>
      </w:pPr>
      <w:r>
        <w:rPr>
          <w:rFonts w:ascii="Aptos" w:hAnsi="Aptos" w:eastAsia="Microsoft YaHei"/>
          <w:b w:val="0"/>
          <w:color w:val="1B2530"/>
          <w:sz w:val="20"/>
        </w:rPr>
        <w:t>报告工具生成HTML和JSON，浏览器同步导出标注证据PNG，供人工复核与留档。</w:t>
      </w:r>
    </w:p>
    <w:p>
      <w:pPr>
        <w:pStyle w:val="Heading1"/>
        <w:keepNext/>
        <w:spacing w:before="200" w:after="120" w:line="276" w:lineRule="auto"/>
      </w:pPr>
      <w:r>
        <w:rPr>
          <w:rFonts w:ascii="Aptos" w:hAnsi="Aptos" w:eastAsia="Microsoft YaHei"/>
          <w:b/>
          <w:color w:val="092238"/>
          <w:sz w:val="32"/>
        </w:rPr>
        <w:t>五、系统总体架构与技术路线</w:t>
      </w:r>
    </w:p>
    <w:p>
      <w:pPr>
        <w:keepNext w:val="0"/>
        <w:spacing w:before="0" w:after="60" w:line="324" w:lineRule="auto"/>
        <w:jc w:val="center"/>
      </w:pPr>
      <w:r>
        <w:drawing>
          <wp:inline xmlns:a="http://schemas.openxmlformats.org/drawingml/2006/main" xmlns:pic="http://schemas.openxmlformats.org/drawingml/2006/picture">
            <wp:extent cx="5724000" cy="3367059"/>
            <wp:docPr id="4" name="Picture 4" descr="图3  VisionGuard AI四层总体架构" title="图3  VisionGuard AI四层总体架构"/>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24000" cy="3367059"/>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图3  VisionGuard AI四层总体架构</w:t>
      </w:r>
    </w:p>
    <w:tbl>
      <w:tblPr>
        <w:tblStyle w:val="TableGrid"/>
        <w:tblW w:type="dxa" w:w="9014"/>
        <w:tblLayout w:type="fixed"/>
        <w:tblLook w:firstColumn="1" w:firstRow="1" w:lastColumn="0" w:lastRow="0" w:noHBand="0" w:noVBand="1" w:val="04A0"/>
        <w:jc w:val="center"/>
        <w:tblInd w:w="120" w:type="dxa"/>
      </w:tblPr>
      <w:tblGrid>
        <w:gridCol w:w="1587"/>
        <w:gridCol w:w="4081"/>
        <w:gridCol w:w="3344"/>
      </w:tblGrid>
      <w:tr>
        <w:trPr>
          <w:cantSplit w:val="true"/>
          <w:tblHeader w:val="true"/>
        </w:trPr>
        <w:tc>
          <w:tcPr>
            <w:tcW w:type="dxa" w:w="158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层级</w:t>
            </w:r>
          </w:p>
        </w:tc>
        <w:tc>
          <w:tcPr>
            <w:tcW w:type="dxa" w:w="40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关键能力</w:t>
            </w:r>
          </w:p>
        </w:tc>
        <w:tc>
          <w:tcPr>
            <w:tcW w:type="dxa" w:w="334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可信控制</w:t>
            </w:r>
          </w:p>
        </w:tc>
      </w:tr>
      <w:tr>
        <w:trPr>
          <w:cantSplit w:val="true"/>
        </w:trPr>
        <w:tc>
          <w:tcPr>
            <w:tcW w:type="dxa" w:w="158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交互层</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图片上传、任务输入、结果追问、报告与证据图导出</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格式/大小校验，明确用户反馈</w:t>
            </w:r>
          </w:p>
        </w:tc>
      </w:tr>
      <w:tr>
        <w:trPr>
          <w:cantSplit w:val="true"/>
        </w:trPr>
        <w:tc>
          <w:tcPr>
            <w:tcW w:type="dxa" w:w="158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智能体层</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意图识别、任务规划、工具调用、结果编排</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工具白名单、调用轨迹、失败回退</w:t>
            </w:r>
          </w:p>
        </w:tc>
      </w:tr>
      <w:tr>
        <w:trPr>
          <w:cantSplit w:val="true"/>
        </w:trPr>
        <w:tc>
          <w:tcPr>
            <w:tcW w:type="dxa" w:w="158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能力工具层</w:t>
            </w:r>
          </w:p>
        </w:tc>
        <w:tc>
          <w:tcPr>
            <w:tcW w:type="dxa" w:w="40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视觉、知识、风险、解释、报告五类工具</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统一结构化协议、输入输出校验</w:t>
            </w:r>
          </w:p>
        </w:tc>
      </w:tr>
      <w:tr>
        <w:trPr>
          <w:cantSplit w:val="true"/>
        </w:trPr>
        <w:tc>
          <w:tcPr>
            <w:tcW w:type="dxa" w:w="158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可信数据层</w:t>
            </w:r>
          </w:p>
        </w:tc>
        <w:tc>
          <w:tcPr>
            <w:tcW w:type="dxa" w:w="40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视觉证据、知识依据、模型与阈值、耗时</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证据编号引用、版本记录、适用边界</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（一）技术路线选择依据：为什么不用纯大模型</w:t>
      </w:r>
    </w:p>
    <w:p>
      <w:pPr>
        <w:keepNext w:val="0"/>
        <w:spacing w:before="0" w:after="120" w:line="324" w:lineRule="auto"/>
      </w:pPr>
      <w:r>
        <w:rPr>
          <w:rFonts w:ascii="Aptos" w:hAnsi="Aptos" w:eastAsia="Microsoft YaHei"/>
          <w:b w:val="0"/>
          <w:color w:val="1B2530"/>
          <w:sz w:val="21"/>
        </w:rPr>
        <w:t>专业视觉模型具备位置精确、输出稳定和指标可量化等优势；纯多模态大模型擅长综合理解，但目标定位一致性和可控性难以单独满足工业安全场景。项目因此采用“专业视觉模型 + 大模型Agent + 知识增强”的协同路线：大模型不替代视觉模型，而是调度专业模型、理解结果并组织业务输出。</w:t>
      </w:r>
    </w:p>
    <w:tbl>
      <w:tblPr>
        <w:tblStyle w:val="TableGrid"/>
        <w:tblW w:type="dxa" w:w="9014"/>
        <w:tblLayout w:type="fixed"/>
        <w:tblLook w:firstColumn="1" w:firstRow="1" w:lastColumn="0" w:lastRow="0" w:noHBand="0" w:noVBand="1" w:val="04A0"/>
        <w:jc w:val="center"/>
        <w:tblInd w:w="120" w:type="dxa"/>
      </w:tblPr>
      <w:tblGrid>
        <w:gridCol w:w="1700"/>
        <w:gridCol w:w="2381"/>
        <w:gridCol w:w="2551"/>
        <w:gridCol w:w="2381"/>
      </w:tblGrid>
      <w:tr>
        <w:trPr>
          <w:cantSplit w:val="true"/>
          <w:tblHeader w:val="true"/>
        </w:trPr>
        <w:tc>
          <w:tcPr>
            <w:tcW w:type="dxa" w:w="1700"/>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方案</w:t>
            </w:r>
          </w:p>
        </w:tc>
        <w:tc>
          <w:tcPr>
            <w:tcW w:type="dxa" w:w="23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优势</w:t>
            </w:r>
          </w:p>
        </w:tc>
        <w:tc>
          <w:tcPr>
            <w:tcW w:type="dxa" w:w="255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主要局限</w:t>
            </w:r>
          </w:p>
        </w:tc>
        <w:tc>
          <w:tcPr>
            <w:tcW w:type="dxa" w:w="23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VisionGuard取舍</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传统目标检测</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定位明确、指标清晰</w:t>
            </w:r>
          </w:p>
        </w:tc>
        <w:tc>
          <w:tcPr>
            <w:tcW w:type="dxa" w:w="255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停留在类别与检测框</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作为核心取证工具</w:t>
            </w:r>
          </w:p>
        </w:tc>
      </w:tr>
      <w:tr>
        <w:trPr>
          <w:cantSplit w:val="true"/>
        </w:trPr>
        <w:tc>
          <w:tcPr>
            <w:tcW w:type="dxa" w:w="170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纯多模态大模型</w:t>
            </w:r>
          </w:p>
        </w:tc>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语言理解与泛化强</w:t>
            </w:r>
          </w:p>
        </w:tc>
        <w:tc>
          <w:tcPr>
            <w:tcW w:type="dxa" w:w="255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定位与输出一致性难保证</w:t>
            </w:r>
          </w:p>
        </w:tc>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不承担核心视觉判断</w:t>
            </w:r>
          </w:p>
        </w:tc>
      </w:tr>
      <w:tr>
        <w:trPr>
          <w:cantSplit w:val="true"/>
        </w:trPr>
        <w:tc>
          <w:tcPr>
            <w:tcW w:type="dxa" w:w="170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VisionGuard协同路线</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感知、推理和知识相互校验</w:t>
            </w:r>
          </w:p>
        </w:tc>
        <w:tc>
          <w:tcPr>
            <w:tcW w:type="dxa" w:w="255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需要模块治理与证据协议</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作为工业安全可信路线</w:t>
            </w:r>
          </w:p>
        </w:tc>
      </w:tr>
    </w:tbl>
    <w:p>
      <w:pPr>
        <w:keepNext w:val="0"/>
        <w:spacing w:before="0" w:after="40" w:line="324" w:lineRule="auto"/>
      </w:pPr>
    </w:p>
    <w:p>
      <w:pPr>
        <w:pStyle w:val="Heading1"/>
        <w:keepNext/>
        <w:spacing w:before="200" w:after="120" w:line="276" w:lineRule="auto"/>
      </w:pPr>
      <w:r>
        <w:rPr>
          <w:rFonts w:ascii="Aptos" w:hAnsi="Aptos" w:eastAsia="Microsoft YaHei"/>
          <w:b/>
          <w:color w:val="092238"/>
          <w:sz w:val="32"/>
        </w:rPr>
        <w:t>六、核心技术模块（一）：专业视觉感知与证据融合</w:t>
      </w:r>
    </w:p>
    <w:p>
      <w:pPr>
        <w:pStyle w:val="Heading2"/>
        <w:keepNext/>
        <w:spacing w:before="140" w:after="80" w:line="276" w:lineRule="auto"/>
      </w:pPr>
      <w:r>
        <w:rPr>
          <w:rFonts w:ascii="Aptos" w:hAnsi="Aptos" w:eastAsia="Microsoft YaHei"/>
          <w:b/>
          <w:color w:val="092238"/>
          <w:sz w:val="26"/>
        </w:rPr>
        <w:t>（一）YOLO专业视觉定位</w:t>
      </w:r>
    </w:p>
    <w:p>
      <w:pPr>
        <w:keepNext w:val="0"/>
        <w:spacing w:before="0" w:after="120" w:line="324" w:lineRule="auto"/>
      </w:pPr>
      <w:r>
        <w:rPr>
          <w:rFonts w:ascii="Aptos" w:hAnsi="Aptos" w:eastAsia="Microsoft YaHei"/>
          <w:b w:val="0"/>
          <w:color w:val="1B2530"/>
          <w:sz w:val="21"/>
        </w:rPr>
        <w:t>视觉服务层通过统一适配器调用YOLO火焰/烟雾模型，输出类别、置信度、边界框、区域占比和证据编号，同时记录模型名称、版本摘要、置信度阈值、IoU阈值、运行设备与推理时间。若专业模型不可用，系统可显式切换至Demo检测器，但会记录回退原因，避免把演示能力伪装为专业推理。</w:t>
      </w:r>
    </w:p>
    <w:p>
      <w:pPr>
        <w:pStyle w:val="Heading2"/>
        <w:keepNext/>
        <w:spacing w:before="140" w:after="80" w:line="276" w:lineRule="auto"/>
      </w:pPr>
      <w:r>
        <w:rPr>
          <w:rFonts w:ascii="Aptos" w:hAnsi="Aptos" w:eastAsia="Microsoft YaHei"/>
          <w:b/>
          <w:color w:val="092238"/>
          <w:sz w:val="26"/>
        </w:rPr>
        <w:t>（二）整图火情确认与双模型融合</w:t>
      </w:r>
    </w:p>
    <w:p>
      <w:pPr>
        <w:keepNext w:val="0"/>
        <w:spacing w:before="0" w:after="120" w:line="324" w:lineRule="auto"/>
      </w:pPr>
      <w:r>
        <w:rPr>
          <w:rFonts w:ascii="Aptos" w:hAnsi="Aptos" w:eastAsia="Microsoft YaHei"/>
          <w:b w:val="0"/>
          <w:color w:val="1B2530"/>
          <w:sz w:val="21"/>
        </w:rPr>
        <w:t>项目接入队友冻结的三路火情分类模型，用于图像级“是否存在可见火焰”的确认。该模型不输出检测框，也不把烟雾单独判为火焰。系统将其与YOLO定位证据并行运行，并区分共同确认、仅分类确认、仅检测确认、无火证据和分类分支不可用等状态。模型分歧不会被隐藏，而会触发人工复核提示。</w:t>
      </w:r>
    </w:p>
    <w:tbl>
      <w:tblPr>
        <w:tblStyle w:val="TableGrid"/>
        <w:tblW w:type="dxa" w:w="9014"/>
        <w:tblLayout w:type="fixed"/>
        <w:tblLook w:firstColumn="1" w:firstRow="1" w:lastColumn="0" w:lastRow="0" w:noHBand="0" w:noVBand="1" w:val="04A0"/>
        <w:jc w:val="center"/>
        <w:tblInd w:w="120" w:type="dxa"/>
      </w:tblPr>
      <w:tblGrid>
        <w:gridCol w:w="1927"/>
        <w:gridCol w:w="3514"/>
        <w:gridCol w:w="3571"/>
      </w:tblGrid>
      <w:tr>
        <w:trPr>
          <w:cantSplit w:val="true"/>
          <w:tblHeader w:val="true"/>
        </w:trPr>
        <w:tc>
          <w:tcPr>
            <w:tcW w:type="dxa" w:w="192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融合状态</w:t>
            </w:r>
          </w:p>
        </w:tc>
        <w:tc>
          <w:tcPr>
            <w:tcW w:type="dxa" w:w="351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含义</w:t>
            </w:r>
          </w:p>
        </w:tc>
        <w:tc>
          <w:tcPr>
            <w:tcW w:type="dxa" w:w="357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系统处理</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confirmed</w:t>
            </w:r>
          </w:p>
        </w:tc>
        <w:tc>
          <w:tcPr>
            <w:tcW w:type="dxa" w:w="35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检测模型定位火焰，分类模型同时确认</w:t>
            </w:r>
          </w:p>
        </w:tc>
        <w:tc>
          <w:tcPr>
            <w:tcW w:type="dxa" w:w="357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形成高可信火焰证据，进入高风险研判</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classifier_only</w:t>
            </w:r>
          </w:p>
        </w:tc>
        <w:tc>
          <w:tcPr>
            <w:tcW w:type="dxa" w:w="35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分类确认火焰，但未获得检测框</w:t>
            </w:r>
          </w:p>
        </w:tc>
        <w:tc>
          <w:tcPr>
            <w:tcW w:type="dxa" w:w="357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视为疑似极小/远距离火焰，必须复核</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detector_only</w:t>
            </w:r>
          </w:p>
        </w:tc>
        <w:tc>
          <w:tcPr>
            <w:tcW w:type="dxa" w:w="35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检测模型有候选框，分类模型未确认</w:t>
            </w:r>
          </w:p>
        </w:tc>
        <w:tc>
          <w:tcPr>
            <w:tcW w:type="dxa" w:w="357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显式标记证据冲突，不强行合并</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no_fire_evidence</w:t>
            </w:r>
          </w:p>
        </w:tc>
        <w:tc>
          <w:tcPr>
            <w:tcW w:type="dxa" w:w="35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两个分支均未形成火焰证据</w:t>
            </w:r>
          </w:p>
        </w:tc>
        <w:tc>
          <w:tcPr>
            <w:tcW w:type="dxa" w:w="357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仅表述未形成明确证据，不等于安全</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classifier_unavailable</w:t>
            </w:r>
          </w:p>
        </w:tc>
        <w:tc>
          <w:tcPr>
            <w:tcW w:type="dxa" w:w="35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分类服务不可用或超时</w:t>
            </w:r>
          </w:p>
        </w:tc>
        <w:tc>
          <w:tcPr>
            <w:tcW w:type="dxa" w:w="357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保留YOLO证据并记录降级状态</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（三）统一结构化视觉证据</w:t>
      </w:r>
    </w:p>
    <w:p>
      <w:pPr>
        <w:keepNext w:val="0"/>
        <w:spacing w:before="0" w:after="120" w:line="324" w:lineRule="auto"/>
      </w:pPr>
      <w:r>
        <w:rPr>
          <w:rFonts w:ascii="Aptos" w:hAnsi="Aptos" w:eastAsia="Microsoft YaHei"/>
          <w:b w:val="0"/>
          <w:color w:val="1B2530"/>
          <w:sz w:val="21"/>
        </w:rPr>
        <w:t>每条证据包含 evidence_id、category、confidence、bbox、area_ratio、source；每次视觉调用同时返回模型、版本、摘要、阈值、设备、耗时、融合状态及回退信息。该协议使风险分析、智能体解释和报告导出引用同一份证据对象。</w:t>
      </w:r>
    </w:p>
    <w:p>
      <w:pPr>
        <w:pStyle w:val="Heading1"/>
        <w:keepNext/>
        <w:spacing w:before="200" w:after="120" w:line="276" w:lineRule="auto"/>
      </w:pPr>
      <w:r>
        <w:rPr>
          <w:rFonts w:ascii="Aptos" w:hAnsi="Aptos" w:eastAsia="Microsoft YaHei"/>
          <w:b/>
          <w:color w:val="092238"/>
          <w:sz w:val="32"/>
        </w:rPr>
        <w:t>七、核心技术模块（二）：Agent、知识增强与风险分析</w:t>
      </w:r>
    </w:p>
    <w:p>
      <w:pPr>
        <w:pStyle w:val="Heading2"/>
        <w:keepNext/>
        <w:spacing w:before="140" w:after="80" w:line="276" w:lineRule="auto"/>
      </w:pPr>
      <w:r>
        <w:rPr>
          <w:rFonts w:ascii="Aptos" w:hAnsi="Aptos" w:eastAsia="Microsoft YaHei"/>
          <w:b/>
          <w:color w:val="092238"/>
          <w:sz w:val="26"/>
        </w:rPr>
        <w:t>（一）VisionGuard Agent</w:t>
      </w:r>
    </w:p>
    <w:p>
      <w:pPr>
        <w:keepNext w:val="0"/>
        <w:spacing w:before="0" w:after="120" w:line="324" w:lineRule="auto"/>
      </w:pPr>
      <w:r>
        <w:rPr>
          <w:rFonts w:ascii="Aptos" w:hAnsi="Aptos" w:eastAsia="Microsoft YaHei"/>
          <w:b w:val="0"/>
          <w:color w:val="1B2530"/>
          <w:sz w:val="21"/>
        </w:rPr>
        <w:t>Agent不是聊天界面包装，而是实际运行的任务中枢。系统首先识别任务意图，生成包含目标输出、工具序列、规划理由和安全约束的计划，再依次调用五个专业工具。每一步记录耗时、状态和引用编号，便于评委直接观察智能体如何接收请求、进行分析决策并反馈结果。</w:t>
      </w:r>
    </w:p>
    <w:tbl>
      <w:tblPr>
        <w:tblStyle w:val="TableGrid"/>
        <w:tblW w:type="dxa" w:w="9014"/>
        <w:tblLayout w:type="fixed"/>
        <w:tblLook w:firstColumn="1" w:firstRow="1" w:lastColumn="0" w:lastRow="0" w:noHBand="0" w:noVBand="1" w:val="04A0"/>
        <w:jc w:val="center"/>
        <w:tblInd w:w="120" w:type="dxa"/>
      </w:tblPr>
      <w:tblGrid>
        <w:gridCol w:w="1814"/>
        <w:gridCol w:w="1927"/>
        <w:gridCol w:w="2381"/>
        <w:gridCol w:w="2891"/>
      </w:tblGrid>
      <w:tr>
        <w:trPr>
          <w:cantSplit w:val="true"/>
          <w:tblHeader w:val="true"/>
        </w:trPr>
        <w:tc>
          <w:tcPr>
            <w:tcW w:type="dxa" w:w="181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工具</w:t>
            </w:r>
          </w:p>
        </w:tc>
        <w:tc>
          <w:tcPr>
            <w:tcW w:type="dxa" w:w="192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输入</w:t>
            </w:r>
          </w:p>
        </w:tc>
        <w:tc>
          <w:tcPr>
            <w:tcW w:type="dxa" w:w="23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输出</w:t>
            </w:r>
          </w:p>
        </w:tc>
        <w:tc>
          <w:tcPr>
            <w:tcW w:type="dxa" w:w="289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核心作用</w:t>
            </w:r>
          </w:p>
        </w:tc>
      </w:tr>
      <w:tr>
        <w:trPr>
          <w:cantSplit w:val="true"/>
        </w:trPr>
        <w:tc>
          <w:tcPr>
            <w:tcW w:type="dxa" w:w="18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vision.detect</w:t>
            </w:r>
          </w:p>
        </w:tc>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图片与模型配置</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结构化视觉证据</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获得可定位、可量化的现场证据</w:t>
            </w:r>
          </w:p>
        </w:tc>
      </w:tr>
      <w:tr>
        <w:trPr>
          <w:cantSplit w:val="true"/>
        </w:trPr>
        <w:tc>
          <w:tcPr>
            <w:tcW w:type="dxa" w:w="18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knowledge.retrieve</w:t>
            </w:r>
          </w:p>
        </w:tc>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任务与风险类别</w:t>
            </w:r>
          </w:p>
        </w:tc>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知识条款及适用边界</w:t>
            </w:r>
          </w:p>
        </w:tc>
        <w:tc>
          <w:tcPr>
            <w:tcW w:type="dxa" w:w="289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约束专业依据</w:t>
            </w:r>
          </w:p>
        </w:tc>
      </w:tr>
      <w:tr>
        <w:trPr>
          <w:cantSplit w:val="true"/>
        </w:trPr>
        <w:tc>
          <w:tcPr>
            <w:tcW w:type="dxa" w:w="18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risk.analyze</w:t>
            </w:r>
          </w:p>
        </w:tc>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视觉证据与规则</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风险等级与不确定性</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完成可解释风险研判</w:t>
            </w:r>
          </w:p>
        </w:tc>
      </w:tr>
      <w:tr>
        <w:trPr>
          <w:cantSplit w:val="true"/>
        </w:trPr>
        <w:tc>
          <w:tcPr>
            <w:tcW w:type="dxa" w:w="181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reasoning.explain</w:t>
            </w:r>
          </w:p>
        </w:tc>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证据与知识编号</w:t>
            </w:r>
          </w:p>
        </w:tc>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受约束风险解释</w:t>
            </w:r>
          </w:p>
        </w:tc>
        <w:tc>
          <w:tcPr>
            <w:tcW w:type="dxa" w:w="289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让大模型只围绕已有证据推理</w:t>
            </w:r>
          </w:p>
        </w:tc>
      </w:tr>
      <w:tr>
        <w:trPr>
          <w:cantSplit w:val="true"/>
        </w:trPr>
        <w:tc>
          <w:tcPr>
            <w:tcW w:type="dxa" w:w="181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report.generate</w:t>
            </w:r>
          </w:p>
        </w:tc>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全过程结构化结果</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HTML/JSON报告</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形成可复核、可导出的交付物</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（二）可解释混合RAG</w:t>
      </w:r>
    </w:p>
    <w:p>
      <w:pPr>
        <w:keepNext w:val="0"/>
        <w:spacing w:before="0" w:after="120" w:line="324" w:lineRule="auto"/>
      </w:pPr>
      <w:r>
        <w:rPr>
          <w:rFonts w:ascii="Aptos" w:hAnsi="Aptos" w:eastAsia="Microsoft YaHei"/>
          <w:b w:val="0"/>
          <w:color w:val="1B2530"/>
          <w:sz w:val="21"/>
        </w:rPr>
        <w:t>知识库使用版本化安全知识，采用“风险类别约束 + 中文TF-IDF召回 + 领域关键词与权威等级重排”的可解释混合RAG。检索结果同时展示知识编号、标题、条款、版本、来源链接、相关度、命中词和适用边界，避免只给出无法核查的“专业建议”。</w:t>
      </w:r>
    </w:p>
    <w:p>
      <w:pPr>
        <w:pStyle w:val="Heading2"/>
        <w:keepNext/>
        <w:spacing w:before="140" w:after="80" w:line="276" w:lineRule="auto"/>
      </w:pPr>
      <w:r>
        <w:rPr>
          <w:rFonts w:ascii="Aptos" w:hAnsi="Aptos" w:eastAsia="Microsoft YaHei"/>
          <w:b/>
          <w:color w:val="092238"/>
          <w:sz w:val="26"/>
        </w:rPr>
        <w:t>（三）证据约束大模型推理</w:t>
      </w:r>
    </w:p>
    <w:p>
      <w:pPr>
        <w:keepNext w:val="0"/>
        <w:spacing w:before="0" w:after="120" w:line="324" w:lineRule="auto"/>
      </w:pPr>
      <w:r>
        <w:rPr>
          <w:rFonts w:ascii="Aptos" w:hAnsi="Aptos" w:eastAsia="Microsoft YaHei"/>
          <w:b w:val="0"/>
          <w:color w:val="1B2530"/>
          <w:sz w:val="21"/>
        </w:rPr>
        <w:t>本地Qwen2.5-1.5B通过兼容接口运行。提示与输出校验要求模型只能引用本次存在的视觉证据编号和知识编号；若模型引用不存在的证据、服务不可用或输出不符合结构，系统切换至确定性推理器并在页面记录回退原因。</w:t>
      </w: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FFF4E8"/>
          </w:tcPr>
          <w:p>
            <w:pPr>
              <w:keepNext w:val="0"/>
              <w:spacing w:before="40" w:after="40" w:line="312" w:lineRule="auto"/>
            </w:pPr>
            <w:r>
              <w:rPr>
                <w:rFonts w:ascii="Aptos" w:hAnsi="Aptos" w:eastAsia="Microsoft YaHei"/>
                <w:b/>
                <w:color w:val="E6515B"/>
                <w:sz w:val="20"/>
              </w:rPr>
              <w:t xml:space="preserve">可信边界  </w:t>
            </w:r>
            <w:r>
              <w:rPr>
                <w:rFonts w:ascii="Aptos" w:hAnsi="Aptos" w:eastAsia="Microsoft YaHei"/>
                <w:b w:val="0"/>
                <w:color w:val="1B2530"/>
                <w:sz w:val="20"/>
              </w:rPr>
              <w:t>视觉输出属于风险线索与辅助核查证据，不构成火灾、事故隐患等级或执法认定；高风险结论必须由现场安全人员确认。</w:t>
            </w:r>
          </w:p>
        </w:tc>
      </w:tr>
    </w:tbl>
    <w:p>
      <w:pPr>
        <w:keepNext w:val="0"/>
        <w:spacing w:before="0" w:after="40" w:line="324" w:lineRule="auto"/>
      </w:pPr>
    </w:p>
    <w:p>
      <w:pPr>
        <w:pStyle w:val="Heading1"/>
        <w:keepNext/>
        <w:spacing w:before="200" w:after="120" w:line="276" w:lineRule="auto"/>
      </w:pPr>
      <w:r>
        <w:rPr>
          <w:rFonts w:ascii="Aptos" w:hAnsi="Aptos" w:eastAsia="Microsoft YaHei"/>
          <w:b/>
          <w:color w:val="092238"/>
          <w:sz w:val="32"/>
        </w:rPr>
        <w:t>八、技术创新与竞争优势</w:t>
      </w:r>
    </w:p>
    <w:p>
      <w:pPr>
        <w:pStyle w:val="Heading2"/>
        <w:keepNext/>
        <w:spacing w:before="140" w:after="80" w:line="276" w:lineRule="auto"/>
      </w:pPr>
      <w:r>
        <w:rPr>
          <w:rFonts w:ascii="Aptos" w:hAnsi="Aptos" w:eastAsia="Microsoft YaHei"/>
          <w:b/>
          <w:color w:val="092238"/>
          <w:sz w:val="26"/>
        </w:rPr>
        <w:t>创新一：从“目标检测”到“任务闭环”的工业视觉智能体范式</w:t>
      </w:r>
    </w:p>
    <w:p>
      <w:pPr>
        <w:keepNext w:val="0"/>
        <w:spacing w:before="0" w:after="120" w:line="324" w:lineRule="auto"/>
      </w:pPr>
      <w:r>
        <w:rPr>
          <w:rFonts w:ascii="Aptos" w:hAnsi="Aptos" w:eastAsia="Microsoft YaHei"/>
          <w:b w:val="0"/>
          <w:color w:val="1B2530"/>
          <w:sz w:val="21"/>
        </w:rPr>
        <w:t>传统算法通常在目标检测后结束。VisionGuard AI围绕用户任务继续完成工具规划、证据获取、知识检索、风险推理和报告生成，使视觉模型从独立算法升级为Agent可调用的专业能力。</w:t>
      </w:r>
    </w:p>
    <w:p>
      <w:pPr>
        <w:pStyle w:val="Heading2"/>
        <w:keepNext/>
        <w:spacing w:before="140" w:after="80" w:line="276" w:lineRule="auto"/>
      </w:pPr>
      <w:r>
        <w:rPr>
          <w:rFonts w:ascii="Aptos" w:hAnsi="Aptos" w:eastAsia="Microsoft YaHei"/>
          <w:b/>
          <w:color w:val="092238"/>
          <w:sz w:val="26"/>
        </w:rPr>
        <w:t>创新二：大模型调度专业模型的协同智能模式</w:t>
      </w:r>
    </w:p>
    <w:p>
      <w:pPr>
        <w:keepNext w:val="0"/>
        <w:spacing w:before="0" w:after="120" w:line="324" w:lineRule="auto"/>
      </w:pPr>
      <w:r>
        <w:rPr>
          <w:rFonts w:ascii="Aptos" w:hAnsi="Aptos" w:eastAsia="Microsoft YaHei"/>
          <w:b w:val="0"/>
          <w:color w:val="1B2530"/>
          <w:sz w:val="21"/>
        </w:rPr>
        <w:t>大模型不替代专业视觉模型，而是理解用户意图、调度工具并解释结构化证据；视觉模型负责位置与置信度，分类模型负责整图确认，知识模块提供行业依据，形成优势互补。</w:t>
      </w:r>
    </w:p>
    <w:p>
      <w:pPr>
        <w:pStyle w:val="Heading2"/>
        <w:keepNext/>
        <w:spacing w:before="140" w:after="80" w:line="276" w:lineRule="auto"/>
      </w:pPr>
      <w:r>
        <w:rPr>
          <w:rFonts w:ascii="Aptos" w:hAnsi="Aptos" w:eastAsia="Microsoft YaHei"/>
          <w:b/>
          <w:color w:val="092238"/>
          <w:sz w:val="26"/>
        </w:rPr>
        <w:t>创新三：基于证据链的可信风险推理</w:t>
      </w:r>
    </w:p>
    <w:p>
      <w:pPr>
        <w:keepNext w:val="0"/>
        <w:spacing w:before="0" w:after="120" w:line="324" w:lineRule="auto"/>
      </w:pPr>
      <w:r>
        <w:rPr>
          <w:rFonts w:ascii="Aptos" w:hAnsi="Aptos" w:eastAsia="Microsoft YaHei"/>
          <w:b w:val="0"/>
          <w:color w:val="1B2530"/>
          <w:sz w:val="21"/>
        </w:rPr>
        <w:t>系统把“视觉证据→知识依据→风险结论→建议动作”组织为可追溯链路。所有关键输出均带编号、来源、版本和边界，模型分歧、失败回退和人工复核要求均可见。</w:t>
      </w:r>
    </w:p>
    <w:tbl>
      <w:tblPr>
        <w:tblStyle w:val="TableGrid"/>
        <w:tblW w:type="dxa" w:w="9014"/>
        <w:tblLayout w:type="fixed"/>
        <w:tblLook w:firstColumn="1" w:firstRow="1" w:lastColumn="0" w:lastRow="0" w:noHBand="0" w:noVBand="1" w:val="04A0"/>
        <w:jc w:val="center"/>
        <w:tblInd w:w="120" w:type="dxa"/>
      </w:tblPr>
      <w:tblGrid>
        <w:gridCol w:w="1474"/>
        <w:gridCol w:w="2324"/>
        <w:gridCol w:w="2324"/>
        <w:gridCol w:w="2891"/>
      </w:tblGrid>
      <w:tr>
        <w:trPr>
          <w:cantSplit w:val="true"/>
          <w:tblHeader w:val="true"/>
        </w:trPr>
        <w:tc>
          <w:tcPr>
            <w:tcW w:type="dxa" w:w="147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对比维度</w:t>
            </w:r>
          </w:p>
        </w:tc>
        <w:tc>
          <w:tcPr>
            <w:tcW w:type="dxa" w:w="232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传统工业视觉报警</w:t>
            </w:r>
          </w:p>
        </w:tc>
        <w:tc>
          <w:tcPr>
            <w:tcW w:type="dxa" w:w="232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通用AI看图/聊天</w:t>
            </w:r>
          </w:p>
        </w:tc>
        <w:tc>
          <w:tcPr>
            <w:tcW w:type="dxa" w:w="289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VisionGuard AI</w:t>
            </w:r>
          </w:p>
        </w:tc>
      </w:tr>
      <w:tr>
        <w:trPr>
          <w:cantSplit w:val="true"/>
        </w:trPr>
        <w:tc>
          <w:tcPr>
            <w:tcW w:type="dxa" w:w="147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输出</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检测框、类别、置信度</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自然语言回答</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证据、依据、风险、建议和报告</w:t>
            </w:r>
          </w:p>
        </w:tc>
      </w:tr>
      <w:tr>
        <w:trPr>
          <w:cantSplit w:val="true"/>
        </w:trPr>
        <w:tc>
          <w:tcPr>
            <w:tcW w:type="dxa" w:w="147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任务理解</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依赖固定规则</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具备语言理解</w:t>
            </w:r>
          </w:p>
        </w:tc>
        <w:tc>
          <w:tcPr>
            <w:tcW w:type="dxa" w:w="289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Agent识别意图并显式规划工具</w:t>
            </w:r>
          </w:p>
        </w:tc>
      </w:tr>
      <w:tr>
        <w:trPr>
          <w:cantSplit w:val="true"/>
        </w:trPr>
        <w:tc>
          <w:tcPr>
            <w:tcW w:type="dxa" w:w="147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视觉可信度</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专业定位但缺少解释</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定位与一致性难保证</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专业检测 + 分类确认 + 分歧提示</w:t>
            </w:r>
          </w:p>
        </w:tc>
      </w:tr>
      <w:tr>
        <w:trPr>
          <w:cantSplit w:val="true"/>
        </w:trPr>
        <w:tc>
          <w:tcPr>
            <w:tcW w:type="dxa" w:w="147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行业知识</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通常与结果割裂</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知识来源不稳定</w:t>
            </w:r>
          </w:p>
        </w:tc>
        <w:tc>
          <w:tcPr>
            <w:tcW w:type="dxa" w:w="289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RAG返回条款、版本和适用边界</w:t>
            </w:r>
          </w:p>
        </w:tc>
      </w:tr>
      <w:tr>
        <w:trPr>
          <w:cantSplit w:val="true"/>
        </w:trPr>
        <w:tc>
          <w:tcPr>
            <w:tcW w:type="dxa" w:w="147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可追溯性</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报警与处置链分离</w:t>
            </w:r>
          </w:p>
        </w:tc>
        <w:tc>
          <w:tcPr>
            <w:tcW w:type="dxa" w:w="232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引用与过程较弱</w:t>
            </w:r>
          </w:p>
        </w:tc>
        <w:tc>
          <w:tcPr>
            <w:tcW w:type="dxa" w:w="289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证据编号、工具轨迹和报告关联</w:t>
            </w:r>
          </w:p>
        </w:tc>
      </w:tr>
      <w:tr>
        <w:trPr>
          <w:cantSplit w:val="true"/>
        </w:trPr>
        <w:tc>
          <w:tcPr>
            <w:tcW w:type="dxa" w:w="147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扩展方式</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新增能力需重写流程</w:t>
            </w:r>
          </w:p>
        </w:tc>
        <w:tc>
          <w:tcPr>
            <w:tcW w:type="dxa" w:w="232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依赖单一模型能力</w:t>
            </w:r>
          </w:p>
        </w:tc>
        <w:tc>
          <w:tcPr>
            <w:tcW w:type="dxa" w:w="289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按统一协议增加专业工具</w:t>
            </w:r>
          </w:p>
        </w:tc>
      </w:tr>
    </w:tbl>
    <w:p>
      <w:pPr>
        <w:keepNext w:val="0"/>
        <w:spacing w:before="0" w:after="40" w:line="324" w:lineRule="auto"/>
      </w:pPr>
    </w:p>
    <w:p>
      <w:pPr>
        <w:pStyle w:val="Heading1"/>
        <w:keepNext/>
        <w:spacing w:before="200" w:after="120" w:line="276" w:lineRule="auto"/>
      </w:pPr>
      <w:r>
        <w:rPr>
          <w:rFonts w:ascii="Aptos" w:hAnsi="Aptos" w:eastAsia="Microsoft YaHei"/>
          <w:b/>
          <w:color w:val="092238"/>
          <w:sz w:val="32"/>
        </w:rPr>
        <w:t>九、产品功能与AI核心作用</w:t>
      </w:r>
    </w:p>
    <w:tbl>
      <w:tblPr>
        <w:tblStyle w:val="TableGrid"/>
        <w:tblW w:type="dxa" w:w="9014"/>
        <w:tblLayout w:type="fixed"/>
        <w:tblLook w:firstColumn="1" w:firstRow="1" w:lastColumn="0" w:lastRow="0" w:noHBand="0" w:noVBand="1" w:val="04A0"/>
        <w:jc w:val="center"/>
        <w:tblInd w:w="120" w:type="dxa"/>
      </w:tblPr>
      <w:tblGrid>
        <w:gridCol w:w="1984"/>
        <w:gridCol w:w="3061"/>
        <w:gridCol w:w="3968"/>
      </w:tblGrid>
      <w:tr>
        <w:trPr>
          <w:cantSplit w:val="true"/>
          <w:tblHeader w:val="true"/>
        </w:trPr>
        <w:tc>
          <w:tcPr>
            <w:tcW w:type="dxa" w:w="198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产品功能</w:t>
            </w:r>
          </w:p>
        </w:tc>
        <w:tc>
          <w:tcPr>
            <w:tcW w:type="dxa" w:w="306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用户看到的结果</w:t>
            </w:r>
          </w:p>
        </w:tc>
        <w:tc>
          <w:tcPr>
            <w:tcW w:type="dxa" w:w="3968"/>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AI在其中的核心作用</w:t>
            </w:r>
          </w:p>
        </w:tc>
      </w:tr>
      <w:tr>
        <w:trPr>
          <w:cantSplit w:val="true"/>
        </w:trPr>
        <w:tc>
          <w:tcPr>
            <w:tcW w:type="dxa" w:w="198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图片上传与任务描述</w:t>
            </w:r>
          </w:p>
        </w:tc>
        <w:tc>
          <w:tcPr>
            <w:tcW w:type="dxa" w:w="306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输入图片、自然语言目标和格式反馈</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语言理解识别用户真正需要的输出</w:t>
            </w:r>
          </w:p>
        </w:tc>
      </w:tr>
      <w:tr>
        <w:trPr>
          <w:cantSplit w:val="true"/>
        </w:trPr>
        <w:tc>
          <w:tcPr>
            <w:tcW w:type="dxa" w:w="198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视觉检测与定位</w:t>
            </w:r>
          </w:p>
        </w:tc>
        <w:tc>
          <w:tcPr>
            <w:tcW w:type="dxa" w:w="306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检测框、类别、置信度和模型信息</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专业视觉模型提供可核查证据</w:t>
            </w:r>
          </w:p>
        </w:tc>
      </w:tr>
      <w:tr>
        <w:trPr>
          <w:cantSplit w:val="true"/>
        </w:trPr>
        <w:tc>
          <w:tcPr>
            <w:tcW w:type="dxa" w:w="198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多模型证据融合</w:t>
            </w:r>
          </w:p>
        </w:tc>
        <w:tc>
          <w:tcPr>
            <w:tcW w:type="dxa" w:w="306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确认、冲突或不可用状态</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多模型协同降低单一判断依赖</w:t>
            </w:r>
          </w:p>
        </w:tc>
      </w:tr>
      <w:tr>
        <w:trPr>
          <w:cantSplit w:val="true"/>
        </w:trPr>
        <w:tc>
          <w:tcPr>
            <w:tcW w:type="dxa" w:w="198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知识增强</w:t>
            </w:r>
          </w:p>
        </w:tc>
        <w:tc>
          <w:tcPr>
            <w:tcW w:type="dxa" w:w="306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法规条款、版本、链接、相关度、适用边界</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RAG检索并重排专业依据</w:t>
            </w:r>
          </w:p>
        </w:tc>
      </w:tr>
      <w:tr>
        <w:trPr>
          <w:cantSplit w:val="true"/>
        </w:trPr>
        <w:tc>
          <w:tcPr>
            <w:tcW w:type="dxa" w:w="198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风险分析</w:t>
            </w:r>
          </w:p>
        </w:tc>
        <w:tc>
          <w:tcPr>
            <w:tcW w:type="dxa" w:w="306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风险等级、原因、不确定性与复核要求</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规则分析和大模型受约束解释</w:t>
            </w:r>
          </w:p>
        </w:tc>
      </w:tr>
      <w:tr>
        <w:trPr>
          <w:cantSplit w:val="true"/>
        </w:trPr>
        <w:tc>
          <w:tcPr>
            <w:tcW w:type="dxa" w:w="198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智能追问</w:t>
            </w:r>
          </w:p>
        </w:tc>
        <w:tc>
          <w:tcPr>
            <w:tcW w:type="dxa" w:w="306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围绕本次证据继续提问</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复用已有证据，不重复检测、不脱离场景</w:t>
            </w:r>
          </w:p>
        </w:tc>
      </w:tr>
      <w:tr>
        <w:trPr>
          <w:cantSplit w:val="true"/>
        </w:trPr>
        <w:tc>
          <w:tcPr>
            <w:tcW w:type="dxa" w:w="198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结果导出</w:t>
            </w:r>
          </w:p>
        </w:tc>
        <w:tc>
          <w:tcPr>
            <w:tcW w:type="dxa" w:w="306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可打印HTML、结构化JSON与标注证据PNG</w:t>
            </w:r>
          </w:p>
        </w:tc>
        <w:tc>
          <w:tcPr>
            <w:tcW w:type="dxa" w:w="396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Agent组织结论，浏览器导出带框证据图</w:t>
            </w:r>
          </w:p>
        </w:tc>
      </w:tr>
      <w:tr>
        <w:trPr>
          <w:cantSplit w:val="true"/>
        </w:trPr>
        <w:tc>
          <w:tcPr>
            <w:tcW w:type="dxa" w:w="198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赛前环境自检</w:t>
            </w:r>
          </w:p>
        </w:tc>
        <w:tc>
          <w:tcPr>
            <w:tcW w:type="dxa" w:w="306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模型、LLM、知识、工具、案例和导出状态</w:t>
            </w:r>
          </w:p>
        </w:tc>
        <w:tc>
          <w:tcPr>
            <w:tcW w:type="dxa" w:w="396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系统自动核查比赛关键依赖</w:t>
            </w:r>
          </w:p>
        </w:tc>
      </w:tr>
    </w:tbl>
    <w:p>
      <w:pPr>
        <w:keepNext w:val="0"/>
        <w:spacing w:before="0" w:after="40" w:line="324" w:lineRule="auto"/>
      </w:pP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E7F8F4"/>
          </w:tcPr>
          <w:p>
            <w:pPr>
              <w:keepNext w:val="0"/>
              <w:spacing w:before="40" w:after="40" w:line="312" w:lineRule="auto"/>
            </w:pPr>
            <w:r>
              <w:rPr>
                <w:rFonts w:ascii="Aptos" w:hAnsi="Aptos" w:eastAsia="Microsoft YaHei"/>
                <w:b/>
                <w:color w:val="35D0BA"/>
                <w:sz w:val="20"/>
              </w:rPr>
              <w:t xml:space="preserve">AI核心作用  </w:t>
            </w:r>
            <w:r>
              <w:rPr>
                <w:rFonts w:ascii="Aptos" w:hAnsi="Aptos" w:eastAsia="Microsoft YaHei"/>
                <w:b w:val="0"/>
                <w:color w:val="1B2530"/>
                <w:sz w:val="20"/>
              </w:rPr>
              <w:t>AI不是附加功能，而是贯穿任务理解、视觉取证、知识检索、风险推理、解释生成和报告组织的主链路；任何一个关键结果都能回到对应证据。</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功能边界</w:t>
      </w:r>
    </w:p>
    <w:p>
      <w:pPr>
        <w:pStyle w:val="ListBullet"/>
        <w:keepNext w:val="0"/>
        <w:spacing w:before="0" w:after="60" w:line="307" w:lineRule="auto"/>
      </w:pPr>
      <w:r>
        <w:rPr>
          <w:rFonts w:ascii="Aptos" w:hAnsi="Aptos" w:eastAsia="Microsoft YaHei"/>
          <w:b w:val="0"/>
          <w:color w:val="1B2530"/>
          <w:sz w:val="20"/>
        </w:rPr>
        <w:t>当前比赛版聚焦图片分析，不扩展数字孪生、复杂路径规划、多机器人或大量检测类别。</w:t>
      </w:r>
    </w:p>
    <w:p>
      <w:pPr>
        <w:pStyle w:val="ListBullet"/>
        <w:keepNext w:val="0"/>
        <w:spacing w:before="0" w:after="60" w:line="307" w:lineRule="auto"/>
      </w:pPr>
      <w:r>
        <w:rPr>
          <w:rFonts w:ascii="Aptos" w:hAnsi="Aptos" w:eastAsia="Microsoft YaHei"/>
          <w:b w:val="0"/>
          <w:color w:val="1B2530"/>
          <w:sz w:val="20"/>
        </w:rPr>
        <w:t>Demo检测器仅作为显式fallback，不作为模型效果证明。</w:t>
      </w:r>
    </w:p>
    <w:p>
      <w:pPr>
        <w:pStyle w:val="ListBullet"/>
        <w:keepNext w:val="0"/>
        <w:spacing w:before="0" w:after="60" w:line="307" w:lineRule="auto"/>
      </w:pPr>
      <w:r>
        <w:rPr>
          <w:rFonts w:ascii="Aptos" w:hAnsi="Aptos" w:eastAsia="Microsoft YaHei"/>
          <w:b w:val="0"/>
          <w:color w:val="1B2530"/>
          <w:sz w:val="20"/>
        </w:rPr>
        <w:t>未检出只表示当前图片未形成明确视觉证据，不能据此判定现场安全。</w:t>
      </w:r>
    </w:p>
    <w:p>
      <w:pPr>
        <w:pStyle w:val="ListBullet"/>
        <w:keepNext w:val="0"/>
        <w:spacing w:before="0" w:after="60" w:line="307" w:lineRule="auto"/>
      </w:pPr>
      <w:r>
        <w:rPr>
          <w:rFonts w:ascii="Aptos" w:hAnsi="Aptos" w:eastAsia="Microsoft YaHei"/>
          <w:b w:val="0"/>
          <w:color w:val="1B2530"/>
          <w:sz w:val="20"/>
        </w:rPr>
        <w:t>系统不连接真实消防控制、门禁或生产设备，不自动执行高风险动作。</w:t>
      </w:r>
    </w:p>
    <w:p>
      <w:pPr>
        <w:pStyle w:val="Heading1"/>
        <w:keepNext/>
        <w:spacing w:before="200" w:after="120" w:line="276" w:lineRule="auto"/>
      </w:pPr>
      <w:r>
        <w:rPr>
          <w:rFonts w:ascii="Aptos" w:hAnsi="Aptos" w:eastAsia="Microsoft YaHei"/>
          <w:b/>
          <w:color w:val="092238"/>
          <w:sz w:val="32"/>
        </w:rPr>
        <w:t>十、完整使用说明与交互流程</w:t>
      </w:r>
    </w:p>
    <w:p>
      <w:pPr>
        <w:pStyle w:val="Heading2"/>
        <w:keepNext/>
        <w:spacing w:before="140" w:after="80" w:line="276" w:lineRule="auto"/>
      </w:pPr>
      <w:r>
        <w:rPr>
          <w:rFonts w:ascii="Aptos" w:hAnsi="Aptos" w:eastAsia="Microsoft YaHei"/>
          <w:b/>
          <w:color w:val="092238"/>
          <w:sz w:val="26"/>
        </w:rPr>
        <w:t>步骤1：运行赛前环境自检</w:t>
      </w:r>
    </w:p>
    <w:p>
      <w:pPr>
        <w:keepNext w:val="0"/>
        <w:spacing w:before="0" w:after="120" w:line="324" w:lineRule="auto"/>
      </w:pPr>
      <w:r>
        <w:rPr>
          <w:rFonts w:ascii="Aptos" w:hAnsi="Aptos" w:eastAsia="Microsoft YaHei"/>
          <w:b w:val="0"/>
          <w:color w:val="1B2530"/>
          <w:sz w:val="21"/>
        </w:rPr>
        <w:t>比赛启动后，首页首先核查YOLO权重、火情复核模型、本地大模型、知识库、Agent工具、验证案例与报告导出状态。全部通过后再开始正式演示，避免将依赖缺失误认为系统功能。</w:t>
      </w:r>
    </w:p>
    <w:p>
      <w:pPr>
        <w:keepNext w:val="0"/>
        <w:spacing w:before="0" w:after="60" w:line="324" w:lineRule="auto"/>
        <w:jc w:val="center"/>
      </w:pPr>
      <w:r>
        <w:drawing>
          <wp:inline xmlns:a="http://schemas.openxmlformats.org/drawingml/2006/main" xmlns:pic="http://schemas.openxmlformats.org/drawingml/2006/picture">
            <wp:extent cx="5724000" cy="3221730"/>
            <wp:docPr id="5" name="Picture 5" descr="图4  赛前环境自检：七类关键依赖全部就绪" title="图4  赛前环境自检：七类关键依赖全部就绪"/>
            <wp:cNvGraphicFramePr>
              <a:graphicFrameLocks noChangeAspect="1"/>
            </wp:cNvGraphicFramePr>
            <a:graphic>
              <a:graphicData uri="http://schemas.openxmlformats.org/drawingml/2006/picture">
                <pic:pic>
                  <pic:nvPicPr>
                    <pic:cNvPr id="0" name="ui-readiness.jpg"/>
                    <pic:cNvPicPr/>
                  </pic:nvPicPr>
                  <pic:blipFill>
                    <a:blip r:embed="rId15"/>
                    <a:stretch>
                      <a:fillRect/>
                    </a:stretch>
                  </pic:blipFill>
                  <pic:spPr>
                    <a:xfrm>
                      <a:off x="0" y="0"/>
                      <a:ext cx="5724000" cy="3221730"/>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图4  赛前环境自检：七类关键依赖全部就绪</w:t>
      </w:r>
    </w:p>
    <w:p>
      <w:pPr>
        <w:pStyle w:val="Heading2"/>
        <w:keepNext/>
        <w:spacing w:before="140" w:after="80" w:line="276" w:lineRule="auto"/>
      </w:pPr>
      <w:r>
        <w:rPr>
          <w:rFonts w:ascii="Aptos" w:hAnsi="Aptos" w:eastAsia="Microsoft YaHei"/>
          <w:b/>
          <w:color w:val="092238"/>
          <w:sz w:val="26"/>
        </w:rPr>
        <w:t>步骤2：选择图片并描述任务</w:t>
      </w:r>
    </w:p>
    <w:p>
      <w:pPr>
        <w:keepNext w:val="0"/>
        <w:spacing w:before="0" w:after="120" w:line="324" w:lineRule="auto"/>
      </w:pPr>
      <w:r>
        <w:rPr>
          <w:rFonts w:ascii="Aptos" w:hAnsi="Aptos" w:eastAsia="Microsoft YaHei"/>
          <w:b w:val="0"/>
          <w:color w:val="1B2530"/>
          <w:sz w:val="21"/>
        </w:rPr>
        <w:t>用户可上传JPEG、PNG或WebP图片（最大10MB），也可选择开放授权明火、开放授权烟雾或合成无明确证据案例。任务框支持自然语言，例如“识别图中风险，并说明视觉证据、依据和建议核查动作”。</w:t>
      </w:r>
    </w:p>
    <w:p>
      <w:pPr>
        <w:pStyle w:val="Heading2"/>
        <w:keepNext/>
        <w:spacing w:before="140" w:after="80" w:line="276" w:lineRule="auto"/>
      </w:pPr>
      <w:r>
        <w:rPr>
          <w:rFonts w:ascii="Aptos" w:hAnsi="Aptos" w:eastAsia="Microsoft YaHei"/>
          <w:b/>
          <w:color w:val="092238"/>
          <w:sz w:val="26"/>
        </w:rPr>
        <w:t>步骤3：启动Agent并查看结果</w:t>
      </w:r>
    </w:p>
    <w:p>
      <w:pPr>
        <w:keepNext w:val="0"/>
        <w:spacing w:before="0" w:after="120" w:line="324" w:lineRule="auto"/>
      </w:pPr>
      <w:r>
        <w:rPr>
          <w:rFonts w:ascii="Aptos" w:hAnsi="Aptos" w:eastAsia="Microsoft YaHei"/>
          <w:b w:val="0"/>
          <w:color w:val="1B2530"/>
          <w:sz w:val="21"/>
        </w:rPr>
        <w:t>点击“启动 VisionGuard Agent”后，页面同步显示带检测框的原图、综合风险、可信度概览、Agent任务规划、专业视觉后端和模型参数。</w:t>
      </w:r>
    </w:p>
    <w:p>
      <w:pPr>
        <w:keepNext w:val="0"/>
        <w:spacing w:before="0" w:after="60" w:line="324" w:lineRule="auto"/>
        <w:jc w:val="center"/>
      </w:pPr>
      <w:r>
        <w:drawing>
          <wp:inline xmlns:a="http://schemas.openxmlformats.org/drawingml/2006/main" xmlns:pic="http://schemas.openxmlformats.org/drawingml/2006/picture">
            <wp:extent cx="5724000" cy="3221730"/>
            <wp:docPr id="6" name="Picture 6" descr="图5  开放授权明火案例：检测定位、风险等级与Agent任务规划" title="图5  开放授权明火案例：检测定位、风险等级与Agent任务规划"/>
            <wp:cNvGraphicFramePr>
              <a:graphicFrameLocks noChangeAspect="1"/>
            </wp:cNvGraphicFramePr>
            <a:graphic>
              <a:graphicData uri="http://schemas.openxmlformats.org/drawingml/2006/picture">
                <pic:pic>
                  <pic:nvPicPr>
                    <pic:cNvPr id="0" name="ui-analysis.jpg"/>
                    <pic:cNvPicPr/>
                  </pic:nvPicPr>
                  <pic:blipFill>
                    <a:blip r:embed="rId16"/>
                    <a:stretch>
                      <a:fillRect/>
                    </a:stretch>
                  </pic:blipFill>
                  <pic:spPr>
                    <a:xfrm>
                      <a:off x="0" y="0"/>
                      <a:ext cx="5724000" cy="3221730"/>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图5  开放授权明火案例：检测定位、风险等级与Agent任务规划</w:t>
      </w:r>
    </w:p>
    <w:p>
      <w:pPr>
        <w:pStyle w:val="Heading1"/>
        <w:keepNext/>
        <w:spacing w:before="200" w:after="120" w:line="276" w:lineRule="auto"/>
      </w:pPr>
      <w:r>
        <w:rPr>
          <w:rFonts w:ascii="Aptos" w:hAnsi="Aptos" w:eastAsia="Microsoft YaHei"/>
          <w:b/>
          <w:color w:val="092238"/>
          <w:sz w:val="32"/>
        </w:rPr>
        <w:t>十、完整使用说明与交互流程（续）</w:t>
      </w:r>
    </w:p>
    <w:p>
      <w:pPr>
        <w:pStyle w:val="Heading2"/>
        <w:keepNext/>
        <w:spacing w:before="140" w:after="80" w:line="276" w:lineRule="auto"/>
      </w:pPr>
      <w:r>
        <w:rPr>
          <w:rFonts w:ascii="Aptos" w:hAnsi="Aptos" w:eastAsia="Microsoft YaHei"/>
          <w:b/>
          <w:color w:val="092238"/>
          <w:sz w:val="26"/>
        </w:rPr>
        <w:t>步骤4：核查可信推理链与知识依据</w:t>
      </w:r>
    </w:p>
    <w:p>
      <w:pPr>
        <w:keepNext w:val="0"/>
        <w:spacing w:before="0" w:after="120" w:line="324" w:lineRule="auto"/>
      </w:pPr>
      <w:r>
        <w:rPr>
          <w:rFonts w:ascii="Aptos" w:hAnsi="Aptos" w:eastAsia="Microsoft YaHei"/>
          <w:b w:val="0"/>
          <w:color w:val="1B2530"/>
          <w:sz w:val="21"/>
        </w:rPr>
        <w:t>风险解释明确列出视觉引用与知识引用。用户可继续查看每条知识的法规来源、条款、版本、相关度、命中词与适用边界，确认建议没有脱离证据。</w:t>
      </w:r>
    </w:p>
    <w:p>
      <w:pPr>
        <w:keepNext w:val="0"/>
        <w:spacing w:before="0" w:after="60" w:line="324" w:lineRule="auto"/>
        <w:jc w:val="center"/>
      </w:pPr>
      <w:r>
        <w:drawing>
          <wp:inline xmlns:a="http://schemas.openxmlformats.org/drawingml/2006/main" xmlns:pic="http://schemas.openxmlformats.org/drawingml/2006/picture">
            <wp:extent cx="3888000" cy="3977379"/>
            <wp:docPr id="7" name="Picture 7" descr="图6  大模型证据约束推理与可追溯知识依据" title="图6  大模型证据约束推理与可追溯知识依据"/>
            <wp:cNvGraphicFramePr>
              <a:graphicFrameLocks noChangeAspect="1"/>
            </wp:cNvGraphicFramePr>
            <a:graphic>
              <a:graphicData uri="http://schemas.openxmlformats.org/drawingml/2006/picture">
                <pic:pic>
                  <pic:nvPicPr>
                    <pic:cNvPr id="0" name="ui-chain-crop.jpg"/>
                    <pic:cNvPicPr/>
                  </pic:nvPicPr>
                  <pic:blipFill>
                    <a:blip r:embed="rId17"/>
                    <a:stretch>
                      <a:fillRect/>
                    </a:stretch>
                  </pic:blipFill>
                  <pic:spPr>
                    <a:xfrm>
                      <a:off x="0" y="0"/>
                      <a:ext cx="3888000" cy="3977379"/>
                    </a:xfrm>
                    <a:prstGeom prst="rect"/>
                  </pic:spPr>
                </pic:pic>
              </a:graphicData>
            </a:graphic>
          </wp:inline>
        </w:drawing>
      </w:r>
    </w:p>
    <w:p>
      <w:pPr>
        <w:keepNext w:val="0"/>
        <w:spacing w:before="0" w:after="120" w:line="324" w:lineRule="auto"/>
        <w:jc w:val="center"/>
      </w:pPr>
      <w:r>
        <w:rPr>
          <w:rFonts w:ascii="Aptos" w:hAnsi="Aptos" w:eastAsia="Microsoft YaHei"/>
          <w:b w:val="0"/>
          <w:color w:val="667784"/>
          <w:sz w:val="17"/>
        </w:rPr>
        <w:t>图6  大模型证据约束推理与可追溯知识依据</w:t>
      </w:r>
    </w:p>
    <w:p>
      <w:pPr>
        <w:pStyle w:val="Heading2"/>
        <w:keepNext/>
        <w:spacing w:before="140" w:after="80" w:line="276" w:lineRule="auto"/>
      </w:pPr>
      <w:r>
        <w:rPr>
          <w:rFonts w:ascii="Aptos" w:hAnsi="Aptos" w:eastAsia="Microsoft YaHei"/>
          <w:b/>
          <w:color w:val="092238"/>
          <w:sz w:val="26"/>
        </w:rPr>
        <w:t>步骤5：继续追问与导出报告</w:t>
      </w:r>
    </w:p>
    <w:p>
      <w:pPr>
        <w:keepNext w:val="0"/>
        <w:spacing w:before="0" w:after="120" w:line="324" w:lineRule="auto"/>
      </w:pPr>
      <w:r>
        <w:rPr>
          <w:rFonts w:ascii="Aptos" w:hAnsi="Aptos" w:eastAsia="Microsoft YaHei"/>
          <w:b w:val="0"/>
          <w:color w:val="1B2530"/>
          <w:sz w:val="21"/>
        </w:rPr>
        <w:t>用户可以围绕本次结果追问“为什么判断为高风险”或“下一步如何核查”。Agent复用同一组视觉和知识证据，不重复检测。分析完成后可打开可打印HTML报告、下载结构化JSON，并在浏览器端导出带检测框的标注证据PNG，用于复核、教学演示和后续系统对接；原始图片不因此上传至额外存储。</w:t>
      </w:r>
    </w:p>
    <w:p>
      <w:pPr>
        <w:pStyle w:val="Heading2"/>
        <w:keepNext/>
        <w:spacing w:before="140" w:after="80" w:line="276" w:lineRule="auto"/>
      </w:pPr>
      <w:r>
        <w:rPr>
          <w:rFonts w:ascii="Aptos" w:hAnsi="Aptos" w:eastAsia="Microsoft YaHei"/>
          <w:b/>
          <w:color w:val="092238"/>
          <w:sz w:val="26"/>
        </w:rPr>
        <w:t>异常与恢复机制</w:t>
      </w:r>
    </w:p>
    <w:p>
      <w:pPr>
        <w:pStyle w:val="ListBullet"/>
        <w:keepNext w:val="0"/>
        <w:spacing w:before="0" w:after="60" w:line="307" w:lineRule="auto"/>
      </w:pPr>
      <w:r>
        <w:rPr>
          <w:rFonts w:ascii="Aptos" w:hAnsi="Aptos" w:eastAsia="Microsoft YaHei"/>
          <w:b w:val="0"/>
          <w:color w:val="1B2530"/>
          <w:sz w:val="20"/>
        </w:rPr>
        <w:t>专业视觉模型不可用：显示回退原因并切换Demo检测器，结果明确标注。</w:t>
      </w:r>
    </w:p>
    <w:p>
      <w:pPr>
        <w:pStyle w:val="ListBullet"/>
        <w:keepNext w:val="0"/>
        <w:spacing w:before="0" w:after="60" w:line="307" w:lineRule="auto"/>
      </w:pPr>
      <w:r>
        <w:rPr>
          <w:rFonts w:ascii="Aptos" w:hAnsi="Aptos" w:eastAsia="Microsoft YaHei"/>
          <w:b w:val="0"/>
          <w:color w:val="1B2530"/>
          <w:sz w:val="20"/>
        </w:rPr>
        <w:t>分类模型超时：不把失败解释为“无火”，保留YOLO证据并提示分支不可用。</w:t>
      </w:r>
    </w:p>
    <w:p>
      <w:pPr>
        <w:pStyle w:val="ListBullet"/>
        <w:keepNext w:val="0"/>
        <w:spacing w:before="0" w:after="60" w:line="307" w:lineRule="auto"/>
      </w:pPr>
      <w:r>
        <w:rPr>
          <w:rFonts w:ascii="Aptos" w:hAnsi="Aptos" w:eastAsia="Microsoft YaHei"/>
          <w:b w:val="0"/>
          <w:color w:val="1B2530"/>
          <w:sz w:val="20"/>
        </w:rPr>
        <w:t>大模型不可用或引用越界：切换确定性推理，保留fallback记录。</w:t>
      </w:r>
    </w:p>
    <w:p>
      <w:pPr>
        <w:pStyle w:val="ListBullet"/>
        <w:keepNext w:val="0"/>
        <w:spacing w:before="0" w:after="60" w:line="307" w:lineRule="auto"/>
      </w:pPr>
      <w:r>
        <w:rPr>
          <w:rFonts w:ascii="Aptos" w:hAnsi="Aptos" w:eastAsia="Microsoft YaHei"/>
          <w:b w:val="0"/>
          <w:color w:val="1B2530"/>
          <w:sz w:val="20"/>
        </w:rPr>
        <w:t>证据冲突或不足：输出“需人工复核”，不生成确定性事故结论。</w:t>
      </w:r>
    </w:p>
    <w:p>
      <w:pPr>
        <w:pStyle w:val="Heading1"/>
        <w:keepNext/>
        <w:spacing w:before="200" w:after="120" w:line="276" w:lineRule="auto"/>
      </w:pPr>
      <w:r>
        <w:rPr>
          <w:rFonts w:ascii="Aptos" w:hAnsi="Aptos" w:eastAsia="Microsoft YaHei"/>
          <w:b/>
          <w:color w:val="092238"/>
          <w:sz w:val="32"/>
        </w:rPr>
        <w:t>十一、技术验证与真实结果</w:t>
      </w:r>
    </w:p>
    <w:tbl>
      <w:tblPr>
        <w:tblW w:type="dxa" w:w="9014"/>
        <w:jc w:val="center"/>
        <w:tblLayout w:type="fixed"/>
        <w:tblLook w:firstColumn="1" w:firstRow="1" w:lastColumn="0" w:lastRow="0" w:noHBand="0" w:noVBand="1" w:val="04A0"/>
        <w:tblInd w:w="120" w:type="dxa"/>
      </w:tblPr>
      <w:tblGrid>
        <w:gridCol w:w="9014"/>
      </w:tblGrid>
      <w:tr>
        <w:trPr>
          <w:cantSplit w:val="true"/>
        </w:trPr>
        <w:tc>
          <w:tcPr>
            <w:tcW w:type="dxa" w:w="9014"/>
            <w:tcMar>
              <w:top w:w="90" w:type="dxa"/>
              <w:start w:w="120" w:type="dxa"/>
              <w:bottom w:w="90" w:type="dxa"/>
              <w:end w:w="120" w:type="dxa"/>
            </w:tcMar>
            <w:vAlign w:val="center"/>
            <w:shd w:fill="E7F8F4"/>
          </w:tcPr>
          <w:p>
            <w:pPr>
              <w:keepNext w:val="0"/>
              <w:spacing w:before="40" w:after="40" w:line="312" w:lineRule="auto"/>
            </w:pPr>
            <w:r>
              <w:rPr>
                <w:rFonts w:ascii="Aptos" w:hAnsi="Aptos" w:eastAsia="Microsoft YaHei"/>
                <w:b/>
                <w:color w:val="35D0BA"/>
                <w:sz w:val="20"/>
              </w:rPr>
              <w:t xml:space="preserve">验证原则  </w:t>
            </w:r>
            <w:r>
              <w:rPr>
                <w:rFonts w:ascii="Aptos" w:hAnsi="Aptos" w:eastAsia="Microsoft YaHei"/>
                <w:b w:val="0"/>
                <w:color w:val="1B2530"/>
                <w:sz w:val="20"/>
              </w:rPr>
              <w:t>模型、阈值、数据清单、硬件和运行配置固定后再评价；分类结果、目标定位结果和系统响应时间分别报告，避免混用指标。</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（一）跨来源视觉能力验证</w:t>
      </w:r>
    </w:p>
    <w:p>
      <w:pPr>
        <w:keepNext w:val="0"/>
        <w:spacing w:before="0" w:after="120" w:line="324" w:lineRule="auto"/>
      </w:pPr>
      <w:r>
        <w:rPr>
          <w:rFonts w:ascii="Aptos" w:hAnsi="Aptos" w:eastAsia="Microsoft YaHei"/>
          <w:b w:val="0"/>
          <w:color w:val="1B2530"/>
          <w:sz w:val="21"/>
        </w:rPr>
        <w:t>固定能力集包含80张图片：30张室内火焰、30张室内烟雾、10张远距离烟雾和10张无目标场景，来自80个互不重复的来源组。样本来自IFireSmoke和Pyro-SDIS，并记录来源、许可、分组和哈希。</w:t>
      </w:r>
    </w:p>
    <w:tbl>
      <w:tblPr>
        <w:tblStyle w:val="TableGrid"/>
        <w:tblW w:type="dxa" w:w="9014"/>
        <w:tblLayout w:type="fixed"/>
        <w:tblLook w:firstColumn="1" w:firstRow="1" w:lastColumn="0" w:lastRow="0" w:noHBand="0" w:noVBand="1" w:val="04A0"/>
        <w:jc w:val="center"/>
        <w:tblInd w:w="120" w:type="dxa"/>
      </w:tblPr>
      <w:tblGrid>
        <w:gridCol w:w="1927"/>
        <w:gridCol w:w="1247"/>
        <w:gridCol w:w="1247"/>
        <w:gridCol w:w="1247"/>
        <w:gridCol w:w="3344"/>
      </w:tblGrid>
      <w:tr>
        <w:trPr>
          <w:cantSplit w:val="true"/>
          <w:tblHeader w:val="true"/>
        </w:trPr>
        <w:tc>
          <w:tcPr>
            <w:tcW w:type="dxa" w:w="192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能力/模型</w:t>
            </w:r>
          </w:p>
        </w:tc>
        <w:tc>
          <w:tcPr>
            <w:tcW w:type="dxa" w:w="124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Precision</w:t>
            </w:r>
          </w:p>
        </w:tc>
        <w:tc>
          <w:tcPr>
            <w:tcW w:type="dxa" w:w="124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Recall</w:t>
            </w:r>
          </w:p>
        </w:tc>
        <w:tc>
          <w:tcPr>
            <w:tcW w:type="dxa" w:w="124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F1</w:t>
            </w:r>
          </w:p>
        </w:tc>
        <w:tc>
          <w:tcPr>
            <w:tcW w:type="dxa" w:w="3344"/>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口径说明</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三路火情分类模型</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83.33%</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100.00%</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90.91%</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80张固定能力集，图像级火焰存在性</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YOLO火焰图片级</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92.59%</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83.33%</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87.72%</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置信度0.10、IoU 0.30</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YOLO烟雾图片级</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75.61%</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77.50%</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76.54%</w:t>
            </w:r>
          </w:p>
        </w:tc>
        <w:tc>
          <w:tcPr>
            <w:tcW w:type="dxa" w:w="3344"/>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当前薄弱项，需继续提升泛化</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YOLO框级总体</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64.94%</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67.57%</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66.23%</w:t>
            </w:r>
          </w:p>
        </w:tc>
        <w:tc>
          <w:tcPr>
            <w:tcW w:type="dxa" w:w="3344"/>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目标框匹配口径</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（二）系统稳定性与响应时间</w:t>
      </w:r>
    </w:p>
    <w:tbl>
      <w:tblPr>
        <w:tblStyle w:val="TableGrid"/>
        <w:tblW w:type="dxa" w:w="9014"/>
        <w:tblLayout w:type="fixed"/>
        <w:tblLook w:firstColumn="1" w:firstRow="1" w:lastColumn="0" w:lastRow="0" w:noHBand="0" w:noVBand="1" w:val="04A0"/>
        <w:jc w:val="center"/>
        <w:tblInd w:w="120" w:type="dxa"/>
      </w:tblPr>
      <w:tblGrid>
        <w:gridCol w:w="3118"/>
        <w:gridCol w:w="2551"/>
        <w:gridCol w:w="1133"/>
        <w:gridCol w:w="963"/>
        <w:gridCol w:w="1247"/>
      </w:tblGrid>
      <w:tr>
        <w:trPr>
          <w:cantSplit w:val="true"/>
          <w:tblHeader w:val="true"/>
        </w:trPr>
        <w:tc>
          <w:tcPr>
            <w:tcW w:type="dxa" w:w="3118"/>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测试配置</w:t>
            </w:r>
          </w:p>
        </w:tc>
        <w:tc>
          <w:tcPr>
            <w:tcW w:type="dxa" w:w="255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成功/约束率</w:t>
            </w:r>
          </w:p>
        </w:tc>
        <w:tc>
          <w:tcPr>
            <w:tcW w:type="dxa" w:w="1133"/>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平均耗时</w:t>
            </w:r>
          </w:p>
        </w:tc>
        <w:tc>
          <w:tcPr>
            <w:tcW w:type="dxa" w:w="963"/>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P95</w:t>
            </w:r>
          </w:p>
        </w:tc>
        <w:tc>
          <w:tcPr>
            <w:tcW w:type="dxa" w:w="124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回退</w:t>
            </w:r>
          </w:p>
        </w:tc>
      </w:tr>
      <w:tr>
        <w:trPr>
          <w:cantSplit w:val="true"/>
        </w:trPr>
        <w:tc>
          <w:tcPr>
            <w:tcW w:type="dxa" w:w="311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视觉链路：20张、4并发、DirectML预热</w:t>
            </w:r>
          </w:p>
        </w:tc>
        <w:tc>
          <w:tcPr>
            <w:tcW w:type="dxa" w:w="255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接口与Agent 100%</w:t>
            </w:r>
          </w:p>
        </w:tc>
        <w:tc>
          <w:tcPr>
            <w:tcW w:type="dxa" w:w="1133"/>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1.02秒</w:t>
            </w:r>
          </w:p>
        </w:tc>
        <w:tc>
          <w:tcPr>
            <w:tcW w:type="dxa" w:w="963"/>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1.43秒</w:t>
            </w:r>
          </w:p>
        </w:tc>
        <w:tc>
          <w:tcPr>
            <w:tcW w:type="dxa" w:w="124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0次</w:t>
            </w:r>
          </w:p>
        </w:tc>
      </w:tr>
      <w:tr>
        <w:trPr>
          <w:cantSplit w:val="true"/>
        </w:trPr>
        <w:tc>
          <w:tcPr>
            <w:tcW w:type="dxa" w:w="311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本地LLM全链路：20张、4并发</w:t>
            </w:r>
          </w:p>
        </w:tc>
        <w:tc>
          <w:tcPr>
            <w:tcW w:type="dxa" w:w="255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请求/Agent/LLM采用/证据约束 100%</w:t>
            </w:r>
          </w:p>
        </w:tc>
        <w:tc>
          <w:tcPr>
            <w:tcW w:type="dxa" w:w="1133"/>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7.29秒</w:t>
            </w:r>
          </w:p>
        </w:tc>
        <w:tc>
          <w:tcPr>
            <w:tcW w:type="dxa" w:w="963"/>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11.17秒</w:t>
            </w:r>
          </w:p>
        </w:tc>
        <w:tc>
          <w:tcPr>
            <w:tcW w:type="dxa" w:w="124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推理0次</w:t>
            </w:r>
          </w:p>
        </w:tc>
      </w:tr>
    </w:tbl>
    <w:p>
      <w:pPr>
        <w:keepNext w:val="0"/>
        <w:spacing w:before="0" w:after="40" w:line="324" w:lineRule="auto"/>
      </w:pPr>
    </w:p>
    <w:p>
      <w:pPr>
        <w:keepNext w:val="0"/>
        <w:spacing w:before="0" w:after="120" w:line="324" w:lineRule="auto"/>
      </w:pPr>
      <w:r>
        <w:rPr>
          <w:rFonts w:ascii="Aptos" w:hAnsi="Aptos" w:eastAsia="Microsoft YaHei"/>
          <w:b w:val="0"/>
          <w:color w:val="1B2530"/>
          <w:sz w:val="21"/>
        </w:rPr>
        <w:t>测试机为AMD Ryzen 9 8940HX、16核32线程、15.2GB内存、NVIDIA GeForce RTX 5060 Laptop GPU。上述结果仅适用于记录的模型、样本、阈值、硬件与预热配置，不外推为所有工业部署环境的性能。</w:t>
      </w:r>
    </w:p>
    <w:p>
      <w:pPr>
        <w:pStyle w:val="Heading2"/>
        <w:keepNext/>
        <w:spacing w:before="140" w:after="80" w:line="276" w:lineRule="auto"/>
      </w:pPr>
      <w:r>
        <w:rPr>
          <w:rFonts w:ascii="Aptos" w:hAnsi="Aptos" w:eastAsia="Microsoft YaHei"/>
          <w:b/>
          <w:color w:val="092238"/>
          <w:sz w:val="26"/>
        </w:rPr>
        <w:t>（三）自动化与演示可复现性</w:t>
      </w:r>
    </w:p>
    <w:p>
      <w:pPr>
        <w:keepNext w:val="0"/>
        <w:spacing w:before="0" w:after="120" w:line="324" w:lineRule="auto"/>
      </w:pPr>
      <w:r>
        <w:rPr>
          <w:rFonts w:ascii="Aptos" w:hAnsi="Aptos" w:eastAsia="Microsoft YaHei"/>
          <w:b w:val="0"/>
          <w:color w:val="1B2530"/>
          <w:sz w:val="21"/>
        </w:rPr>
        <w:t>当前版本通过37项自动化测试，覆盖图片输入、视觉适配、融合状态、Agent规划、知识检索、风险分析、推理回退、结果导出、公开运行档位、安全响应头和赛前环境自检。首页提供三类可复现案例，开放授权样本只用于演示产品闭环，不作为精度统计。</w:t>
      </w:r>
    </w:p>
    <w:p>
      <w:pPr>
        <w:pStyle w:val="Heading1"/>
        <w:keepNext/>
        <w:spacing w:before="200" w:after="120" w:line="276" w:lineRule="auto"/>
      </w:pPr>
      <w:r>
        <w:rPr>
          <w:rFonts w:ascii="Aptos" w:hAnsi="Aptos" w:eastAsia="Microsoft YaHei"/>
          <w:b/>
          <w:color w:val="092238"/>
          <w:sz w:val="32"/>
        </w:rPr>
        <w:t>十二、市场差异、应用前景与商业模式</w:t>
      </w:r>
    </w:p>
    <w:p>
      <w:pPr>
        <w:pStyle w:val="Heading2"/>
        <w:keepNext/>
        <w:spacing w:before="140" w:after="80" w:line="276" w:lineRule="auto"/>
      </w:pPr>
      <w:r>
        <w:rPr>
          <w:rFonts w:ascii="Aptos" w:hAnsi="Aptos" w:eastAsia="Microsoft YaHei"/>
          <w:b/>
          <w:color w:val="092238"/>
          <w:sz w:val="26"/>
        </w:rPr>
        <w:t>（一）竞争格局</w:t>
      </w:r>
    </w:p>
    <w:p>
      <w:pPr>
        <w:keepNext w:val="0"/>
        <w:spacing w:before="0" w:after="120" w:line="324" w:lineRule="auto"/>
      </w:pPr>
      <w:r>
        <w:rPr>
          <w:rFonts w:ascii="Aptos" w:hAnsi="Aptos" w:eastAsia="Microsoft YaHei"/>
          <w:b w:val="0"/>
          <w:color w:val="1B2530"/>
          <w:sz w:val="21"/>
        </w:rPr>
        <w:t>现有方案大致分为传统视频监控/视觉报警、通用多模态大模型和垂直安全软件三类。VisionGuard AI不与现有摄像头或安全管理平台正面替代，而是提供可嵌入的“视觉风险认知层”，把专业检测证据、行业知识与报告流程连接起来。</w:t>
      </w:r>
    </w:p>
    <w:tbl>
      <w:tblPr>
        <w:tblStyle w:val="TableGrid"/>
        <w:tblW w:type="dxa" w:w="9014"/>
        <w:tblLayout w:type="fixed"/>
        <w:tblLook w:firstColumn="1" w:firstRow="1" w:lastColumn="0" w:lastRow="0" w:noHBand="0" w:noVBand="1" w:val="04A0"/>
        <w:jc w:val="center"/>
        <w:tblInd w:w="120" w:type="dxa"/>
      </w:tblPr>
      <w:tblGrid>
        <w:gridCol w:w="1927"/>
        <w:gridCol w:w="2267"/>
        <w:gridCol w:w="2381"/>
        <w:gridCol w:w="2437"/>
      </w:tblGrid>
      <w:tr>
        <w:trPr>
          <w:cantSplit w:val="true"/>
          <w:tblHeader w:val="true"/>
        </w:trPr>
        <w:tc>
          <w:tcPr>
            <w:tcW w:type="dxa" w:w="192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方案类型</w:t>
            </w:r>
          </w:p>
        </w:tc>
        <w:tc>
          <w:tcPr>
            <w:tcW w:type="dxa" w:w="226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典型优势</w:t>
            </w:r>
          </w:p>
        </w:tc>
        <w:tc>
          <w:tcPr>
            <w:tcW w:type="dxa" w:w="23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主要缺口</w:t>
            </w:r>
          </w:p>
        </w:tc>
        <w:tc>
          <w:tcPr>
            <w:tcW w:type="dxa" w:w="243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本项目差异</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传统监控与视觉报警</w:t>
            </w:r>
          </w:p>
        </w:tc>
        <w:tc>
          <w:tcPr>
            <w:tcW w:type="dxa" w:w="226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成熟采集、实时告警</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缺少风险解释与知识依据</w:t>
            </w:r>
          </w:p>
        </w:tc>
        <w:tc>
          <w:tcPr>
            <w:tcW w:type="dxa" w:w="243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在现有系统上补充认知和报告能力</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通用多模态大模型</w:t>
            </w:r>
          </w:p>
        </w:tc>
        <w:tc>
          <w:tcPr>
            <w:tcW w:type="dxa" w:w="226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自然交互、泛化能力强</w:t>
            </w:r>
          </w:p>
        </w:tc>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工业定位、稳定性与依据约束不足</w:t>
            </w:r>
          </w:p>
        </w:tc>
        <w:tc>
          <w:tcPr>
            <w:tcW w:type="dxa" w:w="243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专业模型取证，大模型受证据约束</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垂直安全管理软件</w:t>
            </w:r>
          </w:p>
        </w:tc>
        <w:tc>
          <w:tcPr>
            <w:tcW w:type="dxa" w:w="226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流程和台账完善</w:t>
            </w:r>
          </w:p>
        </w:tc>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视觉智能能力常为外接模块</w:t>
            </w:r>
          </w:p>
        </w:tc>
        <w:tc>
          <w:tcPr>
            <w:tcW w:type="dxa" w:w="243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以Agent连接感知、知识与业务输出</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（二）商业模式</w:t>
      </w:r>
    </w:p>
    <w:p>
      <w:pPr>
        <w:pStyle w:val="ListBullet"/>
        <w:keepNext w:val="0"/>
        <w:spacing w:before="0" w:after="60" w:line="307" w:lineRule="auto"/>
      </w:pPr>
      <w:r>
        <w:rPr>
          <w:rFonts w:ascii="Aptos" w:hAnsi="Aptos" w:eastAsia="Microsoft YaHei"/>
          <w:b w:val="0"/>
          <w:color w:val="1B2530"/>
          <w:sz w:val="20"/>
        </w:rPr>
        <w:t>轻量SaaS订阅：面向中小企业和园区提供按账号、分析量或功能包计费的图片风险分析服务。</w:t>
      </w:r>
    </w:p>
    <w:p>
      <w:pPr>
        <w:pStyle w:val="ListBullet"/>
        <w:keepNext w:val="0"/>
        <w:spacing w:before="0" w:after="60" w:line="307" w:lineRule="auto"/>
      </w:pPr>
      <w:r>
        <w:rPr>
          <w:rFonts w:ascii="Aptos" w:hAnsi="Aptos" w:eastAsia="Microsoft YaHei"/>
          <w:b w:val="0"/>
          <w:color w:val="1B2530"/>
          <w:sz w:val="20"/>
        </w:rPr>
        <w:t>私有化部署：面向数据敏感企业交付本地模型、知识库、管理接口和运维支持。</w:t>
      </w:r>
    </w:p>
    <w:p>
      <w:pPr>
        <w:pStyle w:val="ListBullet"/>
        <w:keepNext w:val="0"/>
        <w:spacing w:before="0" w:after="60" w:line="307" w:lineRule="auto"/>
      </w:pPr>
      <w:r>
        <w:rPr>
          <w:rFonts w:ascii="Aptos" w:hAnsi="Aptos" w:eastAsia="Microsoft YaHei"/>
          <w:b w:val="0"/>
          <w:color w:val="1B2530"/>
          <w:sz w:val="20"/>
        </w:rPr>
        <w:t>行业解决方案合作：与监控平台、安全管理软件和系统集成商合作，以API或工具插件方式接入。</w:t>
      </w:r>
    </w:p>
    <w:p>
      <w:pPr>
        <w:pStyle w:val="ListBullet"/>
        <w:keepNext w:val="0"/>
        <w:spacing w:before="0" w:after="60" w:line="307" w:lineRule="auto"/>
      </w:pPr>
      <w:r>
        <w:rPr>
          <w:rFonts w:ascii="Aptos" w:hAnsi="Aptos" w:eastAsia="Microsoft YaHei"/>
          <w:b w:val="0"/>
          <w:color w:val="1B2530"/>
          <w:sz w:val="20"/>
        </w:rPr>
        <w:t>专业服务：围绕企业知识库配置、模型适配、验证评估和安全培训提供项目制服务。</w:t>
      </w:r>
    </w:p>
    <w:p>
      <w:pPr>
        <w:pStyle w:val="Heading2"/>
        <w:keepNext/>
        <w:spacing w:before="140" w:after="80" w:line="276" w:lineRule="auto"/>
      </w:pPr>
      <w:r>
        <w:rPr>
          <w:rFonts w:ascii="Aptos" w:hAnsi="Aptos" w:eastAsia="Microsoft YaHei"/>
          <w:b/>
          <w:color w:val="092238"/>
          <w:sz w:val="26"/>
        </w:rPr>
        <w:t>（三）推广价值</w:t>
      </w:r>
    </w:p>
    <w:p>
      <w:pPr>
        <w:keepNext w:val="0"/>
        <w:spacing w:before="0" w:after="120" w:line="324" w:lineRule="auto"/>
      </w:pPr>
      <w:r>
        <w:rPr>
          <w:rFonts w:ascii="Aptos" w:hAnsi="Aptos" w:eastAsia="Microsoft YaHei"/>
          <w:b w:val="0"/>
          <w:color w:val="1B2530"/>
          <w:sz w:val="21"/>
        </w:rPr>
        <w:t>在保持“专业感知 + Agent编排 + 知识约束”架构不变的前提下，项目可逐步迁移至电力巡检、仓储安全、智慧园区和设备运维等场景。推广的关键不是无限扩充检测类别，而是复制统一证据协议、可信推理链和人工复核机制。</w:t>
      </w:r>
    </w:p>
    <w:p>
      <w:pPr>
        <w:pStyle w:val="Heading1"/>
        <w:keepNext/>
        <w:spacing w:before="200" w:after="120" w:line="276" w:lineRule="auto"/>
      </w:pPr>
      <w:r>
        <w:rPr>
          <w:rFonts w:ascii="Aptos" w:hAnsi="Aptos" w:eastAsia="Microsoft YaHei"/>
          <w:b/>
          <w:color w:val="092238"/>
          <w:sz w:val="32"/>
        </w:rPr>
        <w:t>十三、实施路径、风险控制与可持续发展</w:t>
      </w:r>
    </w:p>
    <w:p>
      <w:pPr>
        <w:pStyle w:val="Heading2"/>
        <w:keepNext/>
        <w:spacing w:before="140" w:after="80" w:line="276" w:lineRule="auto"/>
      </w:pPr>
      <w:r>
        <w:rPr>
          <w:rFonts w:ascii="Aptos" w:hAnsi="Aptos" w:eastAsia="Microsoft YaHei"/>
          <w:b/>
          <w:color w:val="092238"/>
          <w:sz w:val="26"/>
        </w:rPr>
        <w:t>（一）实施路径</w:t>
      </w:r>
    </w:p>
    <w:tbl>
      <w:tblPr>
        <w:tblStyle w:val="TableGrid"/>
        <w:tblW w:type="dxa" w:w="9014"/>
        <w:tblLayout w:type="fixed"/>
        <w:tblLook w:firstColumn="1" w:firstRow="1" w:lastColumn="0" w:lastRow="0" w:noHBand="0" w:noVBand="1" w:val="04A0"/>
        <w:jc w:val="center"/>
        <w:tblInd w:w="120" w:type="dxa"/>
      </w:tblPr>
      <w:tblGrid>
        <w:gridCol w:w="1530"/>
        <w:gridCol w:w="4535"/>
        <w:gridCol w:w="2948"/>
      </w:tblGrid>
      <w:tr>
        <w:trPr>
          <w:cantSplit w:val="true"/>
          <w:tblHeader w:val="true"/>
        </w:trPr>
        <w:tc>
          <w:tcPr>
            <w:tcW w:type="dxa" w:w="1530"/>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阶段</w:t>
            </w:r>
          </w:p>
        </w:tc>
        <w:tc>
          <w:tcPr>
            <w:tcW w:type="dxa" w:w="4535"/>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重点任务</w:t>
            </w:r>
          </w:p>
        </w:tc>
        <w:tc>
          <w:tcPr>
            <w:tcW w:type="dxa" w:w="2948"/>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验收证据</w:t>
            </w:r>
          </w:p>
        </w:tc>
      </w:tr>
      <w:tr>
        <w:trPr>
          <w:cantSplit w:val="true"/>
        </w:trPr>
        <w:tc>
          <w:tcPr>
            <w:tcW w:type="dxa" w:w="153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比赛展示</w:t>
            </w:r>
          </w:p>
        </w:tc>
        <w:tc>
          <w:tcPr>
            <w:tcW w:type="dxa" w:w="453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稳定图片闭环、环境自检、三类案例、报告与证据图导出</w:t>
            </w:r>
          </w:p>
        </w:tc>
        <w:tc>
          <w:tcPr>
            <w:tcW w:type="dxa" w:w="294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可运行程序、测试记录、演示结果</w:t>
            </w:r>
          </w:p>
        </w:tc>
      </w:tr>
      <w:tr>
        <w:trPr>
          <w:cantSplit w:val="true"/>
        </w:trPr>
        <w:tc>
          <w:tcPr>
            <w:tcW w:type="dxa" w:w="153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场景试点</w:t>
            </w:r>
          </w:p>
        </w:tc>
        <w:tc>
          <w:tcPr>
            <w:tcW w:type="dxa" w:w="4535"/>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引入企业授权样本、配置知识库、验证阈值与流程</w:t>
            </w:r>
          </w:p>
        </w:tc>
        <w:tc>
          <w:tcPr>
            <w:tcW w:type="dxa" w:w="294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试点数据、误差分析、用户反馈</w:t>
            </w:r>
          </w:p>
        </w:tc>
      </w:tr>
      <w:tr>
        <w:trPr>
          <w:cantSplit w:val="true"/>
        </w:trPr>
        <w:tc>
          <w:tcPr>
            <w:tcW w:type="dxa" w:w="1530"/>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产品化</w:t>
            </w:r>
          </w:p>
        </w:tc>
        <w:tc>
          <w:tcPr>
            <w:tcW w:type="dxa" w:w="453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权限、持久化审计、监控告警、部署与运维能力</w:t>
            </w:r>
          </w:p>
        </w:tc>
        <w:tc>
          <w:tcPr>
            <w:tcW w:type="dxa" w:w="2948"/>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安全评审、部署文档、服务指标</w:t>
            </w:r>
          </w:p>
        </w:tc>
      </w:tr>
      <w:tr>
        <w:trPr>
          <w:cantSplit w:val="true"/>
        </w:trPr>
        <w:tc>
          <w:tcPr>
            <w:tcW w:type="dxa" w:w="1530"/>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平台化</w:t>
            </w:r>
          </w:p>
        </w:tc>
        <w:tc>
          <w:tcPr>
            <w:tcW w:type="dxa" w:w="4535"/>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标准化工具接口，按场景接入更多专业模型</w:t>
            </w:r>
          </w:p>
        </w:tc>
        <w:tc>
          <w:tcPr>
            <w:tcW w:type="dxa" w:w="2948"/>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插件规范、模型卡、行业解决方案</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（二）主要风险与控制措施</w:t>
      </w:r>
    </w:p>
    <w:tbl>
      <w:tblPr>
        <w:tblStyle w:val="TableGrid"/>
        <w:tblW w:type="dxa" w:w="9014"/>
        <w:tblLayout w:type="fixed"/>
        <w:tblLook w:firstColumn="1" w:firstRow="1" w:lastColumn="0" w:lastRow="0" w:noHBand="0" w:noVBand="1" w:val="04A0"/>
        <w:jc w:val="center"/>
        <w:tblInd w:w="120" w:type="dxa"/>
      </w:tblPr>
      <w:tblGrid>
        <w:gridCol w:w="2381"/>
        <w:gridCol w:w="6633"/>
      </w:tblGrid>
      <w:tr>
        <w:trPr>
          <w:cantSplit w:val="true"/>
          <w:tblHeader w:val="true"/>
        </w:trPr>
        <w:tc>
          <w:tcPr>
            <w:tcW w:type="dxa" w:w="238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风险</w:t>
            </w:r>
          </w:p>
        </w:tc>
        <w:tc>
          <w:tcPr>
            <w:tcW w:type="dxa" w:w="6633"/>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控制措施</w:t>
            </w:r>
          </w:p>
        </w:tc>
      </w:tr>
      <w:tr>
        <w:trPr>
          <w:cantSplit w:val="true"/>
        </w:trPr>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视觉误检或漏检</w:t>
            </w:r>
          </w:p>
        </w:tc>
        <w:tc>
          <w:tcPr>
            <w:tcW w:type="dxa" w:w="6633"/>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多模型证据融合、显示阈值与不确定性、保留人工复核</w:t>
            </w:r>
          </w:p>
        </w:tc>
      </w:tr>
      <w:tr>
        <w:trPr>
          <w:cantSplit w:val="true"/>
        </w:trPr>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大模型幻觉</w:t>
            </w:r>
          </w:p>
        </w:tc>
        <w:tc>
          <w:tcPr>
            <w:tcW w:type="dxa" w:w="6633"/>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证据编号白名单、结构校验、确定性回退、记录引用</w:t>
            </w:r>
          </w:p>
        </w:tc>
      </w:tr>
      <w:tr>
        <w:trPr>
          <w:cantSplit w:val="true"/>
        </w:trPr>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知识适用错误</w:t>
            </w:r>
          </w:p>
        </w:tc>
        <w:tc>
          <w:tcPr>
            <w:tcW w:type="dxa" w:w="6633"/>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版本化来源、风险类别约束、显示条款和适用边界</w:t>
            </w:r>
          </w:p>
        </w:tc>
      </w:tr>
      <w:tr>
        <w:trPr>
          <w:cantSplit w:val="true"/>
        </w:trPr>
        <w:tc>
          <w:tcPr>
            <w:tcW w:type="dxa" w:w="238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环境依赖故障</w:t>
            </w:r>
          </w:p>
        </w:tc>
        <w:tc>
          <w:tcPr>
            <w:tcW w:type="dxa" w:w="6633"/>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启动预热、赛前自检、显式fallback、三类可复现案例</w:t>
            </w:r>
          </w:p>
        </w:tc>
      </w:tr>
      <w:tr>
        <w:trPr>
          <w:cantSplit w:val="true"/>
        </w:trPr>
        <w:tc>
          <w:tcPr>
            <w:tcW w:type="dxa" w:w="238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隐私与安全</w:t>
            </w:r>
          </w:p>
        </w:tc>
        <w:tc>
          <w:tcPr>
            <w:tcW w:type="dxa" w:w="6633"/>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图片内存处理、浏览器端证据图导出、最小化日志、安全响应头、不连接高风险控制设备</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（三）真实性与成果边界</w:t>
      </w:r>
    </w:p>
    <w:p>
      <w:pPr>
        <w:keepNext w:val="0"/>
        <w:spacing w:before="0" w:after="120" w:line="324" w:lineRule="auto"/>
      </w:pPr>
      <w:r>
        <w:rPr>
          <w:rFonts w:ascii="Aptos" w:hAnsi="Aptos" w:eastAsia="Microsoft YaHei"/>
          <w:b w:val="0"/>
          <w:color w:val="1B2530"/>
          <w:sz w:val="21"/>
        </w:rPr>
        <w:t>本方案只将当前已运行、已测试的能力表述为现有成果。视觉指标、系统时延和并发数据均注明样本、硬件和配置；开放授权案例不作为精度证明。生产级部署、真实企业试点、大规模并发与更多风险类别属于后续方向。VisionGuard AI为独立项目，不依赖FactorySafe代码；数字孪生、路径规划等不属于本项目功能范围。</w:t>
      </w:r>
    </w:p>
    <w:p>
      <w:pPr>
        <w:pStyle w:val="Heading1"/>
        <w:keepNext/>
        <w:spacing w:before="200" w:after="120" w:line="276" w:lineRule="auto"/>
      </w:pPr>
      <w:r>
        <w:rPr>
          <w:rFonts w:ascii="Aptos" w:hAnsi="Aptos" w:eastAsia="Microsoft YaHei"/>
          <w:b/>
          <w:color w:val="092238"/>
          <w:sz w:val="32"/>
        </w:rPr>
        <w:t>十四、开发工具、运行方式与提交说明</w:t>
      </w:r>
    </w:p>
    <w:p>
      <w:pPr>
        <w:pStyle w:val="Heading2"/>
        <w:keepNext/>
        <w:spacing w:before="140" w:after="80" w:line="276" w:lineRule="auto"/>
      </w:pPr>
      <w:r>
        <w:rPr>
          <w:rFonts w:ascii="Aptos" w:hAnsi="Aptos" w:eastAsia="Microsoft YaHei"/>
          <w:b/>
          <w:color w:val="092238"/>
          <w:sz w:val="26"/>
        </w:rPr>
        <w:t>（一）主要开发工具与技术栈</w:t>
      </w:r>
    </w:p>
    <w:tbl>
      <w:tblPr>
        <w:tblStyle w:val="TableGrid"/>
        <w:tblW w:type="dxa" w:w="9014"/>
        <w:tblLayout w:type="fixed"/>
        <w:tblLook w:firstColumn="1" w:firstRow="1" w:lastColumn="0" w:lastRow="0" w:noHBand="0" w:noVBand="1" w:val="04A0"/>
        <w:jc w:val="center"/>
        <w:tblInd w:w="120" w:type="dxa"/>
      </w:tblPr>
      <w:tblGrid>
        <w:gridCol w:w="1587"/>
        <w:gridCol w:w="3401"/>
        <w:gridCol w:w="4025"/>
      </w:tblGrid>
      <w:tr>
        <w:trPr>
          <w:cantSplit w:val="true"/>
          <w:tblHeader w:val="true"/>
        </w:trPr>
        <w:tc>
          <w:tcPr>
            <w:tcW w:type="dxa" w:w="158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类别</w:t>
            </w:r>
          </w:p>
        </w:tc>
        <w:tc>
          <w:tcPr>
            <w:tcW w:type="dxa" w:w="340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工具/框架</w:t>
            </w:r>
          </w:p>
        </w:tc>
        <w:tc>
          <w:tcPr>
            <w:tcW w:type="dxa" w:w="4025"/>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用途</w:t>
            </w:r>
          </w:p>
        </w:tc>
      </w:tr>
      <w:tr>
        <w:trPr>
          <w:cantSplit w:val="true"/>
        </w:trPr>
        <w:tc>
          <w:tcPr>
            <w:tcW w:type="dxa" w:w="158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应用工程</w:t>
            </w:r>
          </w:p>
        </w:tc>
        <w:tc>
          <w:tcPr>
            <w:tcW w:type="dxa" w:w="340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Python 3.11、FastAPI、Pydantic、HTML/CSS/JS</w:t>
            </w:r>
          </w:p>
        </w:tc>
        <w:tc>
          <w:tcPr>
            <w:tcW w:type="dxa" w:w="402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API、结构化协议、Agent编排与交互界面</w:t>
            </w:r>
          </w:p>
        </w:tc>
      </w:tr>
      <w:tr>
        <w:trPr>
          <w:cantSplit w:val="true"/>
        </w:trPr>
        <w:tc>
          <w:tcPr>
            <w:tcW w:type="dxa" w:w="158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视觉引擎</w:t>
            </w:r>
          </w:p>
        </w:tc>
        <w:tc>
          <w:tcPr>
            <w:tcW w:type="dxa" w:w="340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Ultralytics YOLO、PyTorch/DirectML</w:t>
            </w:r>
          </w:p>
        </w:tc>
        <w:tc>
          <w:tcPr>
            <w:tcW w:type="dxa" w:w="4025"/>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目标定位、三路火情确认与证据融合</w:t>
            </w:r>
          </w:p>
        </w:tc>
      </w:tr>
      <w:tr>
        <w:trPr>
          <w:cantSplit w:val="true"/>
        </w:trPr>
        <w:tc>
          <w:tcPr>
            <w:tcW w:type="dxa" w:w="158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推理与知识</w:t>
            </w:r>
          </w:p>
        </w:tc>
        <w:tc>
          <w:tcPr>
            <w:tcW w:type="dxa" w:w="340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Qwen2.5-1.5B、llama.cpp、版本化JSON与混合RAG</w:t>
            </w:r>
          </w:p>
        </w:tc>
        <w:tc>
          <w:tcPr>
            <w:tcW w:type="dxa" w:w="402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本地证据约束解释与知识检索</w:t>
            </w:r>
          </w:p>
        </w:tc>
      </w:tr>
      <w:tr>
        <w:trPr>
          <w:cantSplit w:val="true"/>
        </w:trPr>
        <w:tc>
          <w:tcPr>
            <w:tcW w:type="dxa" w:w="158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验证与部署</w:t>
            </w:r>
          </w:p>
        </w:tc>
        <w:tc>
          <w:tcPr>
            <w:tcW w:type="dxa" w:w="340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Pytest、PowerShell、Docker、Render Blueprint</w:t>
            </w:r>
          </w:p>
        </w:tc>
        <w:tc>
          <w:tcPr>
            <w:tcW w:type="dxa" w:w="4025"/>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自动化测试、一键启动与公开演示配置</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（二）运行方式</w:t>
      </w:r>
    </w:p>
    <w:p>
      <w:pPr>
        <w:keepNext w:val="0"/>
        <w:spacing w:before="0" w:after="120" w:line="324" w:lineRule="auto"/>
      </w:pPr>
      <w:r>
        <w:rPr>
          <w:rFonts w:ascii="Aptos" w:hAnsi="Aptos" w:eastAsia="Microsoft YaHei"/>
          <w:b w:val="0"/>
          <w:color w:val="1B2530"/>
          <w:sz w:val="21"/>
        </w:rPr>
        <w:t>比赛机执行 scripts\start_competition.ps1 后访问 http://127.0.0.1:8000；脚本检查模型及摘要并启动完整链路。模型权重不进入源码包，未配置时仅以显式Demo fallback运行。仓库另提供Dockerfile与Render Blueprint；公开档位标记public-demo并限制并发、禁止API缓存，不作为专业模型效果证明。</w:t>
      </w:r>
    </w:p>
    <w:p>
      <w:pPr>
        <w:pStyle w:val="Heading2"/>
        <w:keepNext/>
        <w:spacing w:before="140" w:after="80" w:line="276" w:lineRule="auto"/>
      </w:pPr>
      <w:r>
        <w:rPr>
          <w:rFonts w:ascii="Aptos" w:hAnsi="Aptos" w:eastAsia="Microsoft YaHei"/>
          <w:b/>
          <w:color w:val="092238"/>
          <w:sz w:val="26"/>
        </w:rPr>
        <w:t>（三）本次提交物</w:t>
      </w:r>
    </w:p>
    <w:tbl>
      <w:tblPr>
        <w:tblStyle w:val="TableGrid"/>
        <w:tblW w:type="dxa" w:w="9014"/>
        <w:tblLayout w:type="fixed"/>
        <w:tblLook w:firstColumn="1" w:firstRow="1" w:lastColumn="0" w:lastRow="0" w:noHBand="0" w:noVBand="1" w:val="04A0"/>
        <w:jc w:val="center"/>
        <w:tblInd w:w="120" w:type="dxa"/>
      </w:tblPr>
      <w:tblGrid>
        <w:gridCol w:w="1927"/>
        <w:gridCol w:w="2721"/>
        <w:gridCol w:w="4365"/>
      </w:tblGrid>
      <w:tr>
        <w:trPr>
          <w:cantSplit w:val="true"/>
          <w:tblHeader w:val="true"/>
        </w:trPr>
        <w:tc>
          <w:tcPr>
            <w:tcW w:type="dxa" w:w="1927"/>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提交物</w:t>
            </w:r>
          </w:p>
        </w:tc>
        <w:tc>
          <w:tcPr>
            <w:tcW w:type="dxa" w:w="2721"/>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格式/位置</w:t>
            </w:r>
          </w:p>
        </w:tc>
        <w:tc>
          <w:tcPr>
            <w:tcW w:type="dxa" w:w="4365"/>
            <w:tcMar>
              <w:top w:w="90" w:type="dxa"/>
              <w:start w:w="120" w:type="dxa"/>
              <w:bottom w:w="90" w:type="dxa"/>
              <w:end w:w="120" w:type="dxa"/>
            </w:tcMar>
            <w:vAlign w:val="center"/>
            <w:shd w:fill="092238"/>
          </w:tcPr>
          <w:p>
            <w:pPr>
              <w:keepNext w:val="0"/>
              <w:spacing w:before="0" w:after="0" w:line="269" w:lineRule="auto"/>
              <w:jc w:val="center"/>
            </w:pPr>
            <w:r>
              <w:rPr>
                <w:rFonts w:ascii="Aptos" w:hAnsi="Aptos" w:eastAsia="Microsoft YaHei"/>
                <w:b/>
                <w:color w:val="FFFFFF"/>
                <w:sz w:val="19"/>
              </w:rPr>
              <w:t>说明</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应用方案</w:t>
            </w:r>
          </w:p>
        </w:tc>
        <w:tc>
          <w:tcPr>
            <w:tcW w:type="dxa" w:w="272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PDF，不超过20页</w:t>
            </w:r>
          </w:p>
        </w:tc>
        <w:tc>
          <w:tcPr>
            <w:tcW w:type="dxa" w:w="436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本文件正式版本</w:t>
            </w:r>
          </w:p>
        </w:tc>
      </w:tr>
      <w:tr>
        <w:trPr>
          <w:cantSplit w:val="true"/>
        </w:trPr>
        <w:tc>
          <w:tcPr>
            <w:tcW w:type="dxa" w:w="1927"/>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可运行程序</w:t>
            </w:r>
          </w:p>
        </w:tc>
        <w:tc>
          <w:tcPr>
            <w:tcW w:type="dxa" w:w="2721"/>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源码ZIP与GitHub</w:t>
            </w:r>
          </w:p>
        </w:tc>
        <w:tc>
          <w:tcPr>
            <w:tcW w:type="dxa" w:w="4365"/>
            <w:shd w:fill="F7FAFC"/>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代码、测试与脚本；模型权重单独配置</w:t>
            </w:r>
          </w:p>
        </w:tc>
      </w:tr>
      <w:tr>
        <w:trPr>
          <w:cantSplit w:val="true"/>
        </w:trPr>
        <w:tc>
          <w:tcPr>
            <w:tcW w:type="dxa" w:w="1927"/>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演示视频</w:t>
            </w:r>
          </w:p>
        </w:tc>
        <w:tc>
          <w:tcPr>
            <w:tcW w:type="dxa" w:w="2721"/>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MP4，不超过5分钟</w:t>
            </w:r>
          </w:p>
        </w:tc>
        <w:tc>
          <w:tcPr>
            <w:tcW w:type="dxa" w:w="4365"/>
            <w:tcMar>
              <w:top w:w="90" w:type="dxa"/>
              <w:start w:w="120" w:type="dxa"/>
              <w:bottom w:w="90" w:type="dxa"/>
              <w:end w:w="120" w:type="dxa"/>
            </w:tcMar>
            <w:vAlign w:val="center"/>
          </w:tcPr>
          <w:p>
            <w:pPr>
              <w:keepNext w:val="0"/>
              <w:spacing w:before="0" w:after="0" w:line="283" w:lineRule="auto"/>
            </w:pPr>
            <w:r>
              <w:rPr>
                <w:rFonts w:ascii="Aptos" w:hAnsi="Aptos" w:eastAsia="Microsoft YaHei"/>
                <w:b w:val="0"/>
                <w:color w:val="1B2530"/>
                <w:sz w:val="18"/>
              </w:rPr>
              <w:t>按官方要求另行提交</w:t>
            </w:r>
          </w:p>
        </w:tc>
      </w:tr>
    </w:tbl>
    <w:p>
      <w:pPr>
        <w:keepNext w:val="0"/>
        <w:spacing w:before="0" w:after="40" w:line="324" w:lineRule="auto"/>
      </w:pPr>
    </w:p>
    <w:p>
      <w:pPr>
        <w:pStyle w:val="Heading2"/>
        <w:keepNext/>
        <w:spacing w:before="140" w:after="80" w:line="276" w:lineRule="auto"/>
      </w:pPr>
      <w:r>
        <w:rPr>
          <w:rFonts w:ascii="Aptos" w:hAnsi="Aptos" w:eastAsia="Microsoft YaHei"/>
          <w:b/>
          <w:color w:val="092238"/>
          <w:sz w:val="26"/>
        </w:rPr>
        <w:t>参考依据</w:t>
      </w:r>
    </w:p>
    <w:p>
      <w:pPr>
        <w:pStyle w:val="ListBullet"/>
        <w:keepNext w:val="0"/>
        <w:spacing w:before="0" w:after="60" w:line="307" w:lineRule="auto"/>
      </w:pPr>
      <w:r>
        <w:rPr>
          <w:rFonts w:ascii="Aptos" w:hAnsi="Aptos" w:eastAsia="Microsoft YaHei"/>
          <w:b w:val="0"/>
          <w:color w:val="1B2530"/>
          <w:sz w:val="20"/>
        </w:rPr>
        <w:t>2026年iCAN大学生创新创业大赛AI应用创新挑战赛规则及作品提交要求。</w:t>
      </w:r>
    </w:p>
    <w:p>
      <w:pPr>
        <w:pStyle w:val="ListBullet"/>
        <w:keepNext w:val="0"/>
        <w:spacing w:before="0" w:after="60" w:line="307" w:lineRule="auto"/>
      </w:pPr>
      <w:r>
        <w:rPr>
          <w:rFonts w:ascii="Aptos" w:hAnsi="Aptos" w:eastAsia="Microsoft YaHei"/>
          <w:b w:val="0"/>
          <w:color w:val="1B2530"/>
          <w:sz w:val="20"/>
        </w:rPr>
        <w:t>《中华人民共和国消防法》第四十四、四十五条；《中华人民共和国安全生产法》第四十一条；《工贸企业重大事故隐患判定标准》（应急管理部令第10号）。</w:t>
      </w:r>
    </w:p>
    <w:sectPr w:rsidR="00FC693F" w:rsidRPr="0006063C" w:rsidSect="00034616">
      <w:headerReference w:type="default" r:id="rId9"/>
      <w:footerReference w:type="default" r:id="rId10"/>
      <w:pgSz w:w="11906" w:h="16838"/>
      <w:pgMar w:top="1020" w:right="1446" w:bottom="935" w:left="144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Microsoft YaHei"/>
        <w:b w:val="0"/>
        <w:color w:val="667784"/>
        <w:sz w:val="16"/>
      </w:rPr>
      <w:t xml:space="preserve">VisionGuard AI · 应用方案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Aptos" w:hAnsi="Aptos" w:eastAsia="Microsoft YaHei"/>
        <w:b/>
        <w:color w:val="667784"/>
        <w:sz w:val="17"/>
      </w:rPr>
      <w:t>VisionGuard AI  |  iCAN 2026 AI应用创新挑战赛 · 软件赛道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1B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922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922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02E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9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7" w:lineRule="auto"/>
      <w:ind w:left="420" w:hanging="215"/>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7" w:lineRule="auto"/>
      <w:ind w:left="420" w:hanging="215"/>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VisionGuard AI iCAN 2026应用方案</dc:title>
  <dc:subject>AI应用创新挑战赛软件赛道高校组</dc:subject>
  <dc:creator>VisionGuard AI项目团队</dc:creator>
  <cp:keywords>VisionGuard AI, 工业安全, 视觉智能体, YOLO, Agent, RAG</cp:keywords>
  <dc:description>generated by python-docx</dc:description>
  <cp:lastModifiedBy/>
  <cp:revision>1</cp:revision>
  <dcterms:created xsi:type="dcterms:W3CDTF">2013-12-23T23:15:00Z</dcterms:created>
  <dcterms:modified xsi:type="dcterms:W3CDTF">2013-12-23T23:15:00Z</dcterms:modified>
  <cp:category/>
</cp:coreProperties>
</file>