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Noto Serif CJK SC" w:hAnsi="Noto Serif CJK SC" w:eastAsia="Noto Serif CJK SC"/>
          <w:b/>
          <w:color w:val="17365D"/>
          <w:sz w:val="58"/>
        </w:rPr>
        <w:t>BrassicaceaeGenomeFM</w:t>
      </w:r>
    </w:p>
    <w:p>
      <w:pPr>
        <w:jc w:val="center"/>
      </w:pPr>
      <w:r>
        <w:rPr>
          <w:rFonts w:ascii="Noto Serif CJK SC" w:hAnsi="Noto Serif CJK SC" w:eastAsia="Noto Serif CJK SC"/>
          <w:b/>
          <w:color w:val="2F5597"/>
          <w:sz w:val="36"/>
        </w:rPr>
        <w:t>完整研究设计、模型、数据、训练与下游评测说明</w:t>
      </w:r>
    </w:p>
    <w:p>
      <w:pPr>
        <w:spacing w:before="320"/>
        <w:jc w:val="center"/>
      </w:pPr>
      <w:r>
        <w:rPr>
          <w:rFonts w:ascii="Noto Sans CJK SC" w:hAnsi="Noto Sans CJK SC" w:eastAsia="Noto Sans CJK SC"/>
          <w:b/>
          <w:color w:val="167D8D"/>
          <w:sz w:val="26"/>
        </w:rPr>
        <w:t>无预定总 token / optimizer-step 上限修订版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shd w:fill="EAF1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文档性质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最终执行设计说明（不是结果报告）</w:t>
            </w:r>
          </w:p>
        </w:tc>
      </w:tr>
      <w:tr>
        <w:tc>
          <w:tcPr>
            <w:tcW w:type="dxa" w:w="4961"/>
            <w:shd w:fill="EAF1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目标模型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BrassiCaduceus-330M</w:t>
            </w:r>
          </w:p>
        </w:tc>
      </w:tr>
      <w:tr>
        <w:tc>
          <w:tcPr>
            <w:tcW w:type="dxa" w:w="4961"/>
            <w:shd w:fill="EAF1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训练原则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coverage cycle内无放回；跨cycle受控复用；WSD动态停止</w:t>
            </w:r>
          </w:p>
        </w:tc>
      </w:tr>
      <w:tr>
        <w:tc>
          <w:tcPr>
            <w:tcW w:type="dxa" w:w="4961"/>
            <w:shd w:fill="EAF1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科学状态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DESIGNED / NOT EXECUTED</w:t>
            </w:r>
          </w:p>
        </w:tc>
      </w:tr>
      <w:tr>
        <w:tc>
          <w:tcPr>
            <w:tcW w:type="dxa" w:w="4961"/>
            <w:shd w:fill="EAF1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修订日期</w:t>
            </w:r>
          </w:p>
        </w:tc>
        <w:tc>
          <w:tcPr>
            <w:tcW w:type="dxa" w:w="496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2026-08-03（CST，UTC+08:00）</w:t>
            </w:r>
          </w:p>
        </w:tc>
      </w:tr>
    </w:tbl>
    <w:p>
      <w:pPr>
        <w:spacing w:before="560"/>
        <w:jc w:val="center"/>
      </w:pPr>
      <w:r>
        <w:rPr>
          <w:rFonts w:ascii="Noto Sans CJK SC" w:hAnsi="Noto Sans CJK SC" w:eastAsia="Noto Sans CJK SC"/>
          <w:color w:val="5B6573"/>
          <w:sz w:val="19"/>
        </w:rPr>
        <w:t>本文件只冻结如何获得可信结果；没有把计划数字写成已完成结果。</w:t>
      </w:r>
    </w:p>
    <w:p>
      <w:r>
        <w:br w:type="page"/>
      </w:r>
    </w:p>
    <w:p>
      <w:pPr>
        <w:pStyle w:val="Title"/>
        <w:jc w:val="left"/>
      </w:pPr>
      <w:r>
        <w:t>目录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1. 先说明哪些是事实、哪些是设计</w:t>
            </w:r>
          </w:p>
        </w:tc>
        <w:tc>
          <w:tcPr>
            <w:tcW w:type="dxa" w:w="4961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jc w:val="right"/>
            </w:pPr>
            <w:r>
              <w:rPr>
                <w:rFonts w:ascii="Noto Sans CJK SC" w:hAnsi="Noto Sans CJK SC" w:eastAsia="Noto Sans CJK SC"/>
                <w:sz w:val="16"/>
              </w:rPr>
              <w:t>3</w:t>
            </w:r>
          </w:p>
        </w:tc>
      </w:tr>
      <w:tr>
        <w:tc>
          <w:tcPr>
            <w:tcW w:type="dxa" w:w="4961"/>
            <w:tcMar>
              <w:top w:w="55" w:type="dxa"/>
              <w:start w:w="80" w:type="dxa"/>
              <w:bottom w:w="55" w:type="dxa"/>
              <w:end w:w="8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6"/>
              </w:rPr>
              <w:t>2. 核心研究问题与论文主线</w:t>
            </w:r>
          </w:p>
        </w:tc>
        <w:tc>
          <w:tcPr>
            <w:tcW w:type="dxa" w:w="4961"/>
            <w:tcMar>
              <w:top w:w="55" w:type="dxa"/>
              <w:start w:w="80" w:type="dxa"/>
              <w:bottom w:w="55" w:type="dxa"/>
              <w:end w:w="80" w:type="dxa"/>
            </w:tcMar>
            <w:shd w:fill="F4F7FA"/>
          </w:tcPr>
          <w:p>
            <w:pPr>
              <w:jc w:val="right"/>
            </w:pPr>
            <w:r>
              <w:rPr>
                <w:rFonts w:ascii="Noto Sans CJK SC" w:hAnsi="Noto Sans CJK SC" w:eastAsia="Noto Sans CJK SC"/>
                <w:sz w:val="16"/>
              </w:rPr>
              <w:t>4</w:t>
            </w:r>
          </w:p>
        </w:tc>
      </w:tr>
      <w:tr>
        <w:tc>
          <w:tcPr>
            <w:tcW w:type="dxa" w:w="4961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3. 与关键公共模型的逐项比较</w:t>
            </w:r>
          </w:p>
        </w:tc>
        <w:tc>
          <w:tcPr>
            <w:tcW w:type="dxa" w:w="4961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jc w:val="right"/>
            </w:pPr>
            <w:r>
              <w:rPr>
                <w:rFonts w:ascii="Noto Sans CJK SC" w:hAnsi="Noto Sans CJK SC" w:eastAsia="Noto Sans CJK SC"/>
                <w:sz w:val="16"/>
              </w:rPr>
              <w:t>5</w:t>
            </w:r>
          </w:p>
        </w:tc>
      </w:tr>
      <w:tr>
        <w:tc>
          <w:tcPr>
            <w:tcW w:type="dxa" w:w="4961"/>
            <w:tcMar>
              <w:top w:w="55" w:type="dxa"/>
              <w:start w:w="80" w:type="dxa"/>
              <w:bottom w:w="55" w:type="dxa"/>
              <w:end w:w="8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6"/>
              </w:rPr>
              <w:t>4. 数据总体设计</w:t>
            </w:r>
          </w:p>
        </w:tc>
        <w:tc>
          <w:tcPr>
            <w:tcW w:type="dxa" w:w="4961"/>
            <w:tcMar>
              <w:top w:w="55" w:type="dxa"/>
              <w:start w:w="80" w:type="dxa"/>
              <w:bottom w:w="55" w:type="dxa"/>
              <w:end w:w="80" w:type="dxa"/>
            </w:tcMar>
            <w:shd w:fill="F4F7FA"/>
          </w:tcPr>
          <w:p>
            <w:pPr>
              <w:jc w:val="right"/>
            </w:pPr>
            <w:r>
              <w:rPr>
                <w:rFonts w:ascii="Noto Sans CJK SC" w:hAnsi="Noto Sans CJK SC" w:eastAsia="Noto Sans CJK SC"/>
                <w:sz w:val="16"/>
              </w:rPr>
              <w:t>7</w:t>
            </w:r>
          </w:p>
        </w:tc>
      </w:tr>
      <w:tr>
        <w:tc>
          <w:tcPr>
            <w:tcW w:type="dxa" w:w="4961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5. 模型架构</w:t>
            </w:r>
          </w:p>
        </w:tc>
        <w:tc>
          <w:tcPr>
            <w:tcW w:type="dxa" w:w="4961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jc w:val="right"/>
            </w:pPr>
            <w:r>
              <w:rPr>
                <w:rFonts w:ascii="Noto Sans CJK SC" w:hAnsi="Noto Sans CJK SC" w:eastAsia="Noto Sans CJK SC"/>
                <w:sz w:val="16"/>
              </w:rPr>
              <w:t>13</w:t>
            </w:r>
          </w:p>
        </w:tc>
      </w:tr>
      <w:tr>
        <w:tc>
          <w:tcPr>
            <w:tcW w:type="dxa" w:w="4961"/>
            <w:tcMar>
              <w:top w:w="55" w:type="dxa"/>
              <w:start w:w="80" w:type="dxa"/>
              <w:bottom w:w="55" w:type="dxa"/>
              <w:end w:w="8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6"/>
              </w:rPr>
              <w:t>6. 六个预训练目标</w:t>
            </w:r>
          </w:p>
        </w:tc>
        <w:tc>
          <w:tcPr>
            <w:tcW w:type="dxa" w:w="4961"/>
            <w:tcMar>
              <w:top w:w="55" w:type="dxa"/>
              <w:start w:w="80" w:type="dxa"/>
              <w:bottom w:w="55" w:type="dxa"/>
              <w:end w:w="80" w:type="dxa"/>
            </w:tcMar>
            <w:shd w:fill="F4F7FA"/>
          </w:tcPr>
          <w:p>
            <w:pPr>
              <w:jc w:val="right"/>
            </w:pPr>
            <w:r>
              <w:rPr>
                <w:rFonts w:ascii="Noto Sans CJK SC" w:hAnsi="Noto Sans CJK SC" w:eastAsia="Noto Sans CJK SC"/>
                <w:sz w:val="16"/>
              </w:rPr>
              <w:t>15</w:t>
            </w:r>
          </w:p>
        </w:tc>
      </w:tr>
      <w:tr>
        <w:tc>
          <w:tcPr>
            <w:tcW w:type="dxa" w:w="4961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7. 正式训练设计</w:t>
            </w:r>
          </w:p>
        </w:tc>
        <w:tc>
          <w:tcPr>
            <w:tcW w:type="dxa" w:w="4961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jc w:val="right"/>
            </w:pPr>
            <w:r>
              <w:rPr>
                <w:rFonts w:ascii="Noto Sans CJK SC" w:hAnsi="Noto Sans CJK SC" w:eastAsia="Noto Sans CJK SC"/>
                <w:sz w:val="16"/>
              </w:rPr>
              <w:t>16</w:t>
            </w:r>
          </w:p>
        </w:tc>
      </w:tr>
      <w:tr>
        <w:tc>
          <w:tcPr>
            <w:tcW w:type="dxa" w:w="4961"/>
            <w:tcMar>
              <w:top w:w="55" w:type="dxa"/>
              <w:start w:w="80" w:type="dxa"/>
              <w:bottom w:w="55" w:type="dxa"/>
              <w:end w:w="8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6"/>
              </w:rPr>
              <w:t>8. 验证、测试和下游数据之间的边界</w:t>
            </w:r>
          </w:p>
        </w:tc>
        <w:tc>
          <w:tcPr>
            <w:tcW w:type="dxa" w:w="4961"/>
            <w:tcMar>
              <w:top w:w="55" w:type="dxa"/>
              <w:start w:w="80" w:type="dxa"/>
              <w:bottom w:w="55" w:type="dxa"/>
              <w:end w:w="80" w:type="dxa"/>
            </w:tcMar>
            <w:shd w:fill="F4F7FA"/>
          </w:tcPr>
          <w:p>
            <w:pPr>
              <w:jc w:val="right"/>
            </w:pPr>
            <w:r>
              <w:rPr>
                <w:rFonts w:ascii="Noto Sans CJK SC" w:hAnsi="Noto Sans CJK SC" w:eastAsia="Noto Sans CJK SC"/>
                <w:sz w:val="16"/>
              </w:rPr>
              <w:t>18</w:t>
            </w:r>
          </w:p>
        </w:tc>
      </w:tr>
      <w:tr>
        <w:tc>
          <w:tcPr>
            <w:tcW w:type="dxa" w:w="4961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9. 公共任务：必须覆盖其他基因组模型已有能力</w:t>
            </w:r>
          </w:p>
        </w:tc>
        <w:tc>
          <w:tcPr>
            <w:tcW w:type="dxa" w:w="4961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jc w:val="right"/>
            </w:pPr>
            <w:r>
              <w:rPr>
                <w:rFonts w:ascii="Noto Sans CJK SC" w:hAnsi="Noto Sans CJK SC" w:eastAsia="Noto Sans CJK SC"/>
                <w:sz w:val="16"/>
              </w:rPr>
              <w:t>19</w:t>
            </w:r>
          </w:p>
        </w:tc>
      </w:tr>
      <w:tr>
        <w:tc>
          <w:tcPr>
            <w:tcW w:type="dxa" w:w="4961"/>
            <w:tcMar>
              <w:top w:w="55" w:type="dxa"/>
              <w:start w:w="80" w:type="dxa"/>
              <w:bottom w:w="55" w:type="dxa"/>
              <w:end w:w="8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6"/>
              </w:rPr>
              <w:t>10. 十字花科专属与复杂区域任务</w:t>
            </w:r>
          </w:p>
        </w:tc>
        <w:tc>
          <w:tcPr>
            <w:tcW w:type="dxa" w:w="4961"/>
            <w:tcMar>
              <w:top w:w="55" w:type="dxa"/>
              <w:start w:w="80" w:type="dxa"/>
              <w:bottom w:w="55" w:type="dxa"/>
              <w:end w:w="80" w:type="dxa"/>
            </w:tcMar>
            <w:shd w:fill="F4F7FA"/>
          </w:tcPr>
          <w:p>
            <w:pPr>
              <w:jc w:val="right"/>
            </w:pPr>
            <w:r>
              <w:rPr>
                <w:rFonts w:ascii="Noto Sans CJK SC" w:hAnsi="Noto Sans CJK SC" w:eastAsia="Noto Sans CJK SC"/>
                <w:sz w:val="16"/>
              </w:rPr>
              <w:t>21</w:t>
            </w:r>
          </w:p>
        </w:tc>
      </w:tr>
      <w:tr>
        <w:tc>
          <w:tcPr>
            <w:tcW w:type="dxa" w:w="4961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11. 基线重跑与统计合同</w:t>
            </w:r>
          </w:p>
        </w:tc>
        <w:tc>
          <w:tcPr>
            <w:tcW w:type="dxa" w:w="4961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jc w:val="right"/>
            </w:pPr>
            <w:r>
              <w:rPr>
                <w:rFonts w:ascii="Noto Sans CJK SC" w:hAnsi="Noto Sans CJK SC" w:eastAsia="Noto Sans CJK SC"/>
                <w:sz w:val="16"/>
              </w:rPr>
              <w:t>24</w:t>
            </w:r>
          </w:p>
        </w:tc>
      </w:tr>
      <w:tr>
        <w:tc>
          <w:tcPr>
            <w:tcW w:type="dxa" w:w="4961"/>
            <w:tcMar>
              <w:top w:w="55" w:type="dxa"/>
              <w:start w:w="80" w:type="dxa"/>
              <w:bottom w:w="55" w:type="dxa"/>
              <w:end w:w="8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6"/>
              </w:rPr>
              <w:t>12. 为什么这些专属任务可能让公共模型表现差</w:t>
            </w:r>
          </w:p>
        </w:tc>
        <w:tc>
          <w:tcPr>
            <w:tcW w:type="dxa" w:w="4961"/>
            <w:tcMar>
              <w:top w:w="55" w:type="dxa"/>
              <w:start w:w="80" w:type="dxa"/>
              <w:bottom w:w="55" w:type="dxa"/>
              <w:end w:w="80" w:type="dxa"/>
            </w:tcMar>
            <w:shd w:fill="F4F7FA"/>
          </w:tcPr>
          <w:p>
            <w:pPr>
              <w:jc w:val="right"/>
            </w:pPr>
            <w:r>
              <w:rPr>
                <w:rFonts w:ascii="Noto Sans CJK SC" w:hAnsi="Noto Sans CJK SC" w:eastAsia="Noto Sans CJK SC"/>
                <w:sz w:val="16"/>
              </w:rPr>
              <w:t>25</w:t>
            </w:r>
          </w:p>
        </w:tc>
      </w:tr>
      <w:tr>
        <w:tc>
          <w:tcPr>
            <w:tcW w:type="dxa" w:w="4961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13. 从现在到论文的执行顺序</w:t>
            </w:r>
          </w:p>
        </w:tc>
        <w:tc>
          <w:tcPr>
            <w:tcW w:type="dxa" w:w="4961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jc w:val="right"/>
            </w:pPr>
            <w:r>
              <w:rPr>
                <w:rFonts w:ascii="Noto Sans CJK SC" w:hAnsi="Noto Sans CJK SC" w:eastAsia="Noto Sans CJK SC"/>
                <w:sz w:val="16"/>
              </w:rPr>
              <w:t>26</w:t>
            </w:r>
          </w:p>
        </w:tc>
      </w:tr>
      <w:tr>
        <w:tc>
          <w:tcPr>
            <w:tcW w:type="dxa" w:w="4961"/>
            <w:tcMar>
              <w:top w:w="55" w:type="dxa"/>
              <w:start w:w="80" w:type="dxa"/>
              <w:bottom w:w="55" w:type="dxa"/>
              <w:end w:w="8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6"/>
              </w:rPr>
              <w:t>14. 主要风险和停止条件</w:t>
            </w:r>
          </w:p>
        </w:tc>
        <w:tc>
          <w:tcPr>
            <w:tcW w:type="dxa" w:w="4961"/>
            <w:tcMar>
              <w:top w:w="55" w:type="dxa"/>
              <w:start w:w="80" w:type="dxa"/>
              <w:bottom w:w="55" w:type="dxa"/>
              <w:end w:w="80" w:type="dxa"/>
            </w:tcMar>
            <w:shd w:fill="F4F7FA"/>
          </w:tcPr>
          <w:p>
            <w:pPr>
              <w:jc w:val="right"/>
            </w:pPr>
            <w:r>
              <w:rPr>
                <w:rFonts w:ascii="Noto Sans CJK SC" w:hAnsi="Noto Sans CJK SC" w:eastAsia="Noto Sans CJK SC"/>
                <w:sz w:val="16"/>
              </w:rPr>
              <w:t>27</w:t>
            </w:r>
          </w:p>
        </w:tc>
      </w:tr>
      <w:tr>
        <w:tc>
          <w:tcPr>
            <w:tcW w:type="dxa" w:w="4961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15. 交付物与验收清单</w:t>
            </w:r>
          </w:p>
        </w:tc>
        <w:tc>
          <w:tcPr>
            <w:tcW w:type="dxa" w:w="4961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jc w:val="right"/>
            </w:pPr>
            <w:r>
              <w:rPr>
                <w:rFonts w:ascii="Noto Sans CJK SC" w:hAnsi="Noto Sans CJK SC" w:eastAsia="Noto Sans CJK SC"/>
                <w:sz w:val="16"/>
              </w:rPr>
              <w:t>28</w:t>
            </w:r>
          </w:p>
        </w:tc>
      </w:tr>
      <w:tr>
        <w:tc>
          <w:tcPr>
            <w:tcW w:type="dxa" w:w="4961"/>
            <w:tcMar>
              <w:top w:w="55" w:type="dxa"/>
              <w:start w:w="80" w:type="dxa"/>
              <w:bottom w:w="55" w:type="dxa"/>
              <w:end w:w="8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6"/>
              </w:rPr>
              <w:t>16. 关键来源</w:t>
            </w:r>
          </w:p>
        </w:tc>
        <w:tc>
          <w:tcPr>
            <w:tcW w:type="dxa" w:w="4961"/>
            <w:tcMar>
              <w:top w:w="55" w:type="dxa"/>
              <w:start w:w="80" w:type="dxa"/>
              <w:bottom w:w="55" w:type="dxa"/>
              <w:end w:w="80" w:type="dxa"/>
            </w:tcMar>
            <w:shd w:fill="F4F7FA"/>
          </w:tcPr>
          <w:p>
            <w:pPr>
              <w:jc w:val="right"/>
            </w:pPr>
            <w:r>
              <w:rPr>
                <w:rFonts w:ascii="Noto Sans CJK SC" w:hAnsi="Noto Sans CJK SC" w:eastAsia="Noto Sans CJK SC"/>
                <w:sz w:val="16"/>
              </w:rPr>
              <w:t>29</w:t>
            </w:r>
          </w:p>
        </w:tc>
      </w:tr>
      <w:tr>
        <w:tc>
          <w:tcPr>
            <w:tcW w:type="dxa" w:w="4961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17. 白话总结</w:t>
            </w:r>
          </w:p>
        </w:tc>
        <w:tc>
          <w:tcPr>
            <w:tcW w:type="dxa" w:w="4961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jc w:val="right"/>
            </w:pPr>
            <w:r>
              <w:rPr>
                <w:rFonts w:ascii="Noto Sans CJK SC" w:hAnsi="Noto Sans CJK SC" w:eastAsia="Noto Sans CJK SC"/>
                <w:sz w:val="16"/>
              </w:rPr>
              <w:t>30</w:t>
            </w:r>
          </w:p>
        </w:tc>
      </w:tr>
    </w:tbl>
    <w:p>
      <w:r>
        <w:br w:type="page"/>
      </w:r>
    </w:p>
    <w:p>
      <w:pPr>
        <w:pStyle w:val="Heading1"/>
        <w:pageBreakBefore w:val="0"/>
      </w:pPr>
      <w:r>
        <w:t>1. 先说明哪些是事实、哪些是设计</w:t>
      </w:r>
    </w:p>
    <w:p>
      <w:r>
        <w:rPr>
          <w:rFonts w:ascii="Noto Sans CJK SC" w:hAnsi="Noto Sans CJK SC" w:eastAsia="Noto Sans CJK SC"/>
          <w:sz w:val="19"/>
        </w:rPr>
        <w:t>这份说明故意把“已经看到的数据”“冻结的计划”“最低执行门槛”和“尚未知的结果”分开。这样做不是保守措辞，而是防止把目标数字写成已经完成的科研结果。</w:t>
      </w:r>
    </w:p>
    <w:p>
      <w:pPr>
        <w:pStyle w:val="ListBullet"/>
      </w:pPr>
      <w:r>
        <w:rPr>
          <w:rFonts w:ascii="Noto Sans CJK SC" w:hAnsi="Noto Sans CJK SC" w:eastAsia="Noto Sans CJK SC"/>
          <w:b/>
          <w:color w:val="17365D"/>
          <w:sz w:val="18"/>
        </w:rPr>
        <w:t>已核验事实（VERIFIED）</w:t>
      </w:r>
      <w:r>
        <w:rPr>
          <w:rFonts w:ascii="Noto Sans CJK SC" w:hAnsi="Noto Sans CJK SC" w:eastAsia="Noto Sans CJK SC"/>
          <w:sz w:val="18"/>
        </w:rPr>
        <w:t>：外部只读植物原始池当前有1,983个顶层assembly目录、1,966个候选genome文件和575个候选annotation文件；它们是广义植物原始池，不等于十字花科有效数据。</w:t>
      </w:r>
    </w:p>
    <w:p>
      <w:pPr>
        <w:pStyle w:val="ListBullet"/>
      </w:pPr>
      <w:r>
        <w:rPr>
          <w:rFonts w:ascii="Noto Sans CJK SC" w:hAnsi="Noto Sans CJK SC" w:eastAsia="Noto Sans CJK SC"/>
          <w:b/>
          <w:color w:val="17365D"/>
          <w:sz w:val="18"/>
        </w:rPr>
        <w:t>当前真实数据状态（N/A）</w:t>
      </w:r>
      <w:r>
        <w:rPr>
          <w:rFonts w:ascii="Noto Sans CJK SC" w:hAnsi="Noto Sans CJK SC" w:eastAsia="Noto Sans CJK SC"/>
          <w:sz w:val="18"/>
        </w:rPr>
        <w:t>：新项目已经接受的Brassicaceae assembly数、去重后碱基数、六种长度的真实可用窗口数、训练/验证/测试实际容量均尚未产生，不能沿用旧项目数字。</w:t>
      </w:r>
    </w:p>
    <w:p>
      <w:pPr>
        <w:pStyle w:val="ListBullet"/>
      </w:pPr>
      <w:r>
        <w:rPr>
          <w:rFonts w:ascii="Noto Sans CJK SC" w:hAnsi="Noto Sans CJK SC" w:eastAsia="Noto Sans CJK SC"/>
          <w:b/>
          <w:color w:val="17365D"/>
          <w:sz w:val="18"/>
        </w:rPr>
        <w:t>冻结的连续训练合同（DESIGN TARGET）</w:t>
      </w:r>
      <w:r>
        <w:rPr>
          <w:rFonts w:ascii="Noto Sans CJK SC" w:hAnsi="Noto Sans CJK SC" w:eastAsia="Noto Sans CJK SC"/>
          <w:sz w:val="18"/>
        </w:rPr>
        <w:t>：正式run不设置预定的累计token或optimizer-step上限；首轮优先覆盖未见anchor，每个coverage cycle内部无放回，跨cycle按暴露均衡规则受控复用。训练由固定development收敛/过拟合条件触发WSD衰减并停止，而不是达到某个总token数字后停止。</w:t>
      </w:r>
    </w:p>
    <w:p>
      <w:pPr>
        <w:pStyle w:val="ListBullet"/>
      </w:pPr>
      <w:r>
        <w:rPr>
          <w:rFonts w:ascii="Noto Sans CJK SC" w:hAnsi="Noto Sans CJK SC" w:eastAsia="Noto Sans CJK SC"/>
          <w:b/>
          <w:color w:val="17365D"/>
          <w:sz w:val="18"/>
        </w:rPr>
        <w:t>最低执行门槛（GATE）</w:t>
      </w:r>
      <w:r>
        <w:rPr>
          <w:rFonts w:ascii="Noto Sans CJK SC" w:hAnsi="Noto Sans CJK SC" w:eastAsia="Noto Sans CJK SC"/>
          <w:sz w:val="18"/>
        </w:rPr>
        <w:t>：每项下游任务必须达到本文件规定的独立单位、阳性数、类别覆盖和数据来源要求；达不到就标记为</w:t>
      </w:r>
      <w:r>
        <w:rPr>
          <w:rFonts w:ascii="Liberation Mono" w:hAnsi="Liberation Mono" w:eastAsia="Liberation Mono"/>
          <w:color w:val="7A3E00"/>
          <w:sz w:val="17"/>
        </w:rPr>
        <w:t>INFEASIBLE_FOR_CONFIRMATORY</w:t>
      </w:r>
      <w:r>
        <w:rPr>
          <w:rFonts w:ascii="Noto Sans CJK SC" w:hAnsi="Noto Sans CJK SC" w:eastAsia="Noto Sans CJK SC"/>
          <w:sz w:val="18"/>
        </w:rPr>
        <w:t>，而不是用弱标签硬做。</w:t>
      </w:r>
    </w:p>
    <w:p>
      <w:pPr>
        <w:pStyle w:val="ListBullet"/>
      </w:pPr>
      <w:r>
        <w:rPr>
          <w:rFonts w:ascii="Noto Sans CJK SC" w:hAnsi="Noto Sans CJK SC" w:eastAsia="Noto Sans CJK SC"/>
          <w:b/>
          <w:color w:val="17365D"/>
          <w:sz w:val="18"/>
        </w:rPr>
        <w:t>性能结果（N/A）</w:t>
      </w:r>
      <w:r>
        <w:rPr>
          <w:rFonts w:ascii="Noto Sans CJK SC" w:hAnsi="Noto Sans CJK SC" w:eastAsia="Noto Sans CJK SC"/>
          <w:sz w:val="18"/>
        </w:rPr>
        <w:t>：目前没有任何模型分数，也不能提前声称已经超过AgroNT、PlantCAD2、Nucleotide Transformer或Evo 2。</w:t>
      </w:r>
    </w:p>
    <w:p>
      <w:r>
        <w:rPr>
          <w:rFonts w:ascii="Noto Sans CJK SC" w:hAnsi="Noto Sans CJK SC" w:eastAsia="Noto Sans CJK SC"/>
          <w:sz w:val="19"/>
        </w:rPr>
        <w:t>本文的目标，是把“如何得到可信结果”说清楚，而不是预写一个漂亮结论。</w:t>
      </w:r>
    </w:p>
    <w:p>
      <w:pPr>
        <w:pStyle w:val="Heading1"/>
      </w:pPr>
      <w:r>
        <w:t>2. 核心研究问题与论文主线</w:t>
      </w:r>
    </w:p>
    <w:p>
      <w:pPr>
        <w:pStyle w:val="Heading2"/>
      </w:pPr>
      <w:r>
        <w:t>2.1 为什么需要十字花科专属基础模型</w:t>
      </w:r>
    </w:p>
    <w:p>
      <w:r>
        <w:rPr>
          <w:rFonts w:ascii="Noto Sans CJK SC" w:hAnsi="Noto Sans CJK SC" w:eastAsia="Noto Sans CJK SC"/>
          <w:sz w:val="19"/>
        </w:rPr>
        <w:t>现有DNA基础模型大致分成三类。第一类是以Nucleotide Transformer为代表的多物种通用模型，它们覆盖广，但训练语料主要服务人类或一般分子表型，NT-v2-500M的正式模型卡明确说明其850个多物种基因组不包含植物。第二类是AgroNT和PlantCAD2这样的植物专属模型，它们已经证明植物语料能改善调控、表达和跨物种迁移，但目标是整个植物界或被子植物，而不是十字花科内部极其复杂的多倍体、亚基因组和泛基因组问题。第三类是Evo 2一类跨生命域超大模型，具有1 Mb上下文和生成能力，但参数量、训练规模和目标都远超本项目，它并没有显式学习十字花科的U三角、homeolog、S-locus和品质/抗病关系。</w:t>
      </w:r>
    </w:p>
    <w:p>
      <w:r>
        <w:rPr>
          <w:rFonts w:ascii="Noto Sans CJK SC" w:hAnsi="Noto Sans CJK SC" w:eastAsia="Noto Sans CJK SC"/>
          <w:sz w:val="19"/>
        </w:rPr>
        <w:t>十字花科的难点并不只是“多了几个物种”。它同时包含：</w:t>
      </w:r>
    </w:p>
    <w:p>
      <w:pPr>
        <w:pStyle w:val="ListNumber"/>
      </w:pPr>
      <w:r>
        <w:rPr>
          <w:rFonts w:ascii="Liberation Mono" w:hAnsi="Liberation Mono" w:eastAsia="Liberation Mono"/>
          <w:color w:val="7A3E00"/>
          <w:sz w:val="17"/>
        </w:rPr>
        <w:t>Brassica rapa</w:t>
      </w:r>
      <w:r>
        <w:rPr>
          <w:rFonts w:ascii="Noto Sans CJK SC" w:hAnsi="Noto Sans CJK SC" w:eastAsia="Noto Sans CJK SC"/>
          <w:sz w:val="18"/>
        </w:rPr>
        <w:t>、</w:t>
      </w:r>
      <w:r>
        <w:rPr>
          <w:rFonts w:ascii="Liberation Mono" w:hAnsi="Liberation Mono" w:eastAsia="Liberation Mono"/>
          <w:color w:val="7A3E00"/>
          <w:sz w:val="17"/>
        </w:rPr>
        <w:t>B. nigra</w:t>
      </w:r>
      <w:r>
        <w:rPr>
          <w:rFonts w:ascii="Noto Sans CJK SC" w:hAnsi="Noto Sans CJK SC" w:eastAsia="Noto Sans CJK SC"/>
          <w:sz w:val="18"/>
        </w:rPr>
        <w:t>、</w:t>
      </w:r>
      <w:r>
        <w:rPr>
          <w:rFonts w:ascii="Liberation Mono" w:hAnsi="Liberation Mono" w:eastAsia="Liberation Mono"/>
          <w:color w:val="7A3E00"/>
          <w:sz w:val="17"/>
        </w:rPr>
        <w:t>B. oleracea</w:t>
      </w:r>
      <w:r>
        <w:rPr>
          <w:rFonts w:ascii="Noto Sans CJK SC" w:hAnsi="Noto Sans CJK SC" w:eastAsia="Noto Sans CJK SC"/>
          <w:sz w:val="18"/>
        </w:rPr>
        <w:t>与</w:t>
      </w:r>
      <w:r>
        <w:rPr>
          <w:rFonts w:ascii="Liberation Mono" w:hAnsi="Liberation Mono" w:eastAsia="Liberation Mono"/>
          <w:color w:val="7A3E00"/>
          <w:sz w:val="17"/>
        </w:rPr>
        <w:t>B. juncea</w:t>
      </w:r>
      <w:r>
        <w:rPr>
          <w:rFonts w:ascii="Noto Sans CJK SC" w:hAnsi="Noto Sans CJK SC" w:eastAsia="Noto Sans CJK SC"/>
          <w:sz w:val="18"/>
        </w:rPr>
        <w:t>、</w:t>
      </w:r>
      <w:r>
        <w:rPr>
          <w:rFonts w:ascii="Liberation Mono" w:hAnsi="Liberation Mono" w:eastAsia="Liberation Mono"/>
          <w:color w:val="7A3E00"/>
          <w:sz w:val="17"/>
        </w:rPr>
        <w:t>B. napus</w:t>
      </w:r>
      <w:r>
        <w:rPr>
          <w:rFonts w:ascii="Noto Sans CJK SC" w:hAnsi="Noto Sans CJK SC" w:eastAsia="Noto Sans CJK SC"/>
          <w:sz w:val="18"/>
        </w:rPr>
        <w:t>、</w:t>
      </w:r>
      <w:r>
        <w:rPr>
          <w:rFonts w:ascii="Liberation Mono" w:hAnsi="Liberation Mono" w:eastAsia="Liberation Mono"/>
          <w:color w:val="7A3E00"/>
          <w:sz w:val="17"/>
        </w:rPr>
        <w:t>B. carinata</w:t>
      </w:r>
      <w:r>
        <w:rPr>
          <w:rFonts w:ascii="Noto Sans CJK SC" w:hAnsi="Noto Sans CJK SC" w:eastAsia="Noto Sans CJK SC"/>
          <w:sz w:val="18"/>
        </w:rPr>
        <w:t>组成的U三角二倍体—异源多倍体关系；</w:t>
      </w:r>
    </w:p>
    <w:p>
      <w:pPr>
        <w:pStyle w:val="ListNumber"/>
      </w:pPr>
      <w:r>
        <w:rPr>
          <w:rFonts w:ascii="Noto Sans CJK SC" w:hAnsi="Noto Sans CJK SC" w:eastAsia="Noto Sans CJK SC"/>
          <w:sz w:val="18"/>
        </w:rPr>
        <w:t>古老的全基因组三倍化、后续拷贝保留/分馏和亚基因组优势；</w:t>
      </w:r>
    </w:p>
    <w:p>
      <w:pPr>
        <w:pStyle w:val="ListNumber"/>
      </w:pPr>
      <w:r>
        <w:rPr>
          <w:rFonts w:ascii="Noto Sans CJK SC" w:hAnsi="Noto Sans CJK SC" w:eastAsia="Noto Sans CJK SC"/>
          <w:sz w:val="18"/>
        </w:rPr>
        <w:t>homeologous exchange、gene conversion、PAV、SV和TE介导的复杂结构变化；</w:t>
      </w:r>
    </w:p>
    <w:p>
      <w:pPr>
        <w:pStyle w:val="ListNumber"/>
      </w:pPr>
      <w:r>
        <w:rPr>
          <w:rFonts w:ascii="Noto Sans CJK SC" w:hAnsi="Noto Sans CJK SC" w:eastAsia="Noto Sans CJK SC"/>
          <w:sz w:val="18"/>
        </w:rPr>
        <w:t>高度多态、长程连锁的S-locus自交不亲和系统；</w:t>
      </w:r>
    </w:p>
    <w:p>
      <w:pPr>
        <w:pStyle w:val="ListNumber"/>
      </w:pPr>
      <w:r>
        <w:rPr>
          <w:rFonts w:ascii="Noto Sans CJK SC" w:hAnsi="Noto Sans CJK SC" w:eastAsia="Noto Sans CJK SC"/>
          <w:sz w:val="18"/>
        </w:rPr>
        <w:t>硫代葡萄糖苷、油用品质、春化开花、clubroot/blackleg抗性和NLR簇等家族特色性状；</w:t>
      </w:r>
    </w:p>
    <w:p>
      <w:pPr>
        <w:pStyle w:val="ListNumber"/>
      </w:pPr>
      <w:r>
        <w:rPr>
          <w:rFonts w:ascii="Noto Sans CJK SC" w:hAnsi="Noto Sans CJK SC" w:eastAsia="Noto Sans CJK SC"/>
          <w:sz w:val="18"/>
        </w:rPr>
        <w:t>大量任务必须同时使用单碱基精度和数十至上百kb上下文。</w:t>
      </w:r>
    </w:p>
    <w:p>
      <w:r>
        <w:rPr>
          <w:rFonts w:ascii="Noto Sans CJK SC" w:hAnsi="Noto Sans CJK SC" w:eastAsia="Noto Sans CJK SC"/>
          <w:sz w:val="19"/>
        </w:rPr>
        <w:t>因此，本项目不是把“植物模型”简单改名为“十字花科模型”，而是要建立一个能在公共任务上保持竞争力、又能在上述家族专属问题上提供新增能力的统一DNA骨干。</w:t>
      </w:r>
    </w:p>
    <w:p>
      <w:pPr>
        <w:pStyle w:val="Heading2"/>
      </w:pPr>
      <w:r>
        <w:t>2.2 六个预注册研究假设</w:t>
      </w:r>
    </w:p>
    <w:p>
      <w:pPr>
        <w:pStyle w:val="ListBullet"/>
      </w:pPr>
      <w:r>
        <w:rPr>
          <w:rFonts w:ascii="Noto Sans CJK SC" w:hAnsi="Noto Sans CJK SC" w:eastAsia="Noto Sans CJK SC"/>
          <w:b/>
          <w:color w:val="17365D"/>
          <w:sz w:val="18"/>
        </w:rPr>
        <w:t>H1 通用能力</w:t>
      </w:r>
      <w:r>
        <w:rPr>
          <w:rFonts w:ascii="Noto Sans CJK SC" w:hAnsi="Noto Sans CJK SC" w:eastAsia="Noto Sans CJK SC"/>
          <w:sz w:val="18"/>
        </w:rPr>
        <w:t>：在PGB、PlantCAD2兼容任务、结构边界、表达和变异效应等公共植物任务上，330M级模型应达到强植物公共模型的非劣水平，而不是只在自定义任务上有效。</w:t>
      </w:r>
    </w:p>
    <w:p>
      <w:pPr>
        <w:pStyle w:val="ListBullet"/>
      </w:pPr>
      <w:r>
        <w:rPr>
          <w:rFonts w:ascii="Noto Sans CJK SC" w:hAnsi="Noto Sans CJK SC" w:eastAsia="Noto Sans CJK SC"/>
          <w:b/>
          <w:color w:val="17365D"/>
          <w:sz w:val="18"/>
        </w:rPr>
        <w:t>H2 单碱基结构能力</w:t>
      </w:r>
      <w:r>
        <w:rPr>
          <w:rFonts w:ascii="Noto Sans CJK SC" w:hAnsi="Noto Sans CJK SC" w:eastAsia="Noto Sans CJK SC"/>
          <w:sz w:val="18"/>
        </w:rPr>
        <w:t>：结构辅助预训练应改善跨物种start/stop、splice donor/acceptor和多标签基因组分割，尤其是在少量标注下。</w:t>
      </w:r>
    </w:p>
    <w:p>
      <w:pPr>
        <w:pStyle w:val="ListBullet"/>
      </w:pPr>
      <w:r>
        <w:rPr>
          <w:rFonts w:ascii="Noto Sans CJK SC" w:hAnsi="Noto Sans CJK SC" w:eastAsia="Noto Sans CJK SC"/>
          <w:b/>
          <w:color w:val="17365D"/>
          <w:sz w:val="18"/>
        </w:rPr>
        <w:t>H3 超长上下文能力</w:t>
      </w:r>
      <w:r>
        <w:rPr>
          <w:rFonts w:ascii="Noto Sans CJK SC" w:hAnsi="Noto Sans CJK SC" w:eastAsia="Noto Sans CJK SC"/>
          <w:sz w:val="18"/>
        </w:rPr>
        <w:t>：32K、64K和128K应在远端调控、TE邻域、S-locus、NLR簇和SV/PAV任务上提供超过8K裁剪的可重复增益；仅能接收128K张量不算通过。</w:t>
      </w:r>
    </w:p>
    <w:p>
      <w:pPr>
        <w:pStyle w:val="ListBullet"/>
      </w:pPr>
      <w:r>
        <w:rPr>
          <w:rFonts w:ascii="Noto Sans CJK SC" w:hAnsi="Noto Sans CJK SC" w:eastAsia="Noto Sans CJK SC"/>
          <w:b/>
          <w:color w:val="17365D"/>
          <w:sz w:val="18"/>
        </w:rPr>
        <w:t>H4 多倍体关系能力</w:t>
      </w:r>
      <w:r>
        <w:rPr>
          <w:rFonts w:ascii="Noto Sans CJK SC" w:hAnsi="Noto Sans CJK SC" w:eastAsia="Noto Sans CJK SC"/>
          <w:sz w:val="18"/>
        </w:rPr>
        <w:t>：homeolog/ortholog配对目标应改善U三角来源判定、homeolog检索、表达偏倚和WGT后保留/分馏。</w:t>
      </w:r>
    </w:p>
    <w:p>
      <w:pPr>
        <w:pStyle w:val="ListBullet"/>
      </w:pPr>
      <w:r>
        <w:rPr>
          <w:rFonts w:ascii="Noto Sans CJK SC" w:hAnsi="Noto Sans CJK SC" w:eastAsia="Noto Sans CJK SC"/>
          <w:b/>
          <w:color w:val="17365D"/>
          <w:sz w:val="18"/>
        </w:rPr>
        <w:t>H5 十字花科复杂区域能力</w:t>
      </w:r>
      <w:r>
        <w:rPr>
          <w:rFonts w:ascii="Noto Sans CJK SC" w:hAnsi="Noto Sans CJK SC" w:eastAsia="Noto Sans CJK SC"/>
          <w:sz w:val="18"/>
        </w:rPr>
        <w:t>：模型应在未见haplotype clan、未见orthogroup、未见cultivar或未见属上优于通用DNA模型、植物模型和简单序列规则。</w:t>
      </w:r>
    </w:p>
    <w:p>
      <w:pPr>
        <w:pStyle w:val="ListBullet"/>
      </w:pPr>
      <w:r>
        <w:rPr>
          <w:rFonts w:ascii="Noto Sans CJK SC" w:hAnsi="Noto Sans CJK SC" w:eastAsia="Noto Sans CJK SC"/>
          <w:b/>
          <w:color w:val="17365D"/>
          <w:sz w:val="18"/>
        </w:rPr>
        <w:t>H6 样本效率</w:t>
      </w:r>
      <w:r>
        <w:rPr>
          <w:rFonts w:ascii="Noto Sans CJK SC" w:hAnsi="Noto Sans CJK SC" w:eastAsia="Noto Sans CJK SC"/>
          <w:sz w:val="18"/>
        </w:rPr>
        <w:t>：在目标属只有1%、5%和10%标注时，预训练模型应比随机初始化和公共模型获得更高的学习曲线面积，而不是只在100%标签下依靠大head取胜。</w:t>
      </w:r>
    </w:p>
    <w:p>
      <w:pPr>
        <w:pStyle w:val="Heading2"/>
      </w:pPr>
      <w:r>
        <w:t>2.3 能支持和不能支持的主张</w:t>
      </w:r>
    </w:p>
    <w:p>
      <w:r>
        <w:rPr>
          <w:rFonts w:ascii="Noto Sans CJK SC" w:hAnsi="Noto Sans CJK SC" w:eastAsia="Noto Sans CJK SC"/>
          <w:sz w:val="19"/>
        </w:rPr>
        <w:t>全部数据门禁、强基线重跑、五个下游seed和一次sealed test完成后，可以主张“构建并验证了十字花科专属超长DNA基础模型系统”。没有同架构、同QC、同token预算的广义植物语料对照时，不能把增益因果归于语料；架构、平衡、辅助目标和上下文也同时改变。当前仅有一条完整预训练lineage，五个下游seed不代表五个预训练seed。</w:t>
      </w:r>
    </w:p>
    <w:p>
      <w:pPr>
        <w:sectPr>
          <w:headerReference w:type="default" r:id="rId9"/>
          <w:footerReference w:type="default" r:id="rId10"/>
          <w:pgSz w:w="11906" w:h="16838"/>
          <w:pgMar w:top="879" w:right="992" w:bottom="822" w:left="992" w:header="369" w:footer="369" w:gutter="0"/>
          <w:cols w:space="720"/>
          <w:titlePg/>
          <w:docGrid w:linePitch="360"/>
        </w:sectPr>
      </w:pPr>
    </w:p>
    <w:p>
      <w:pPr>
        <w:pStyle w:val="Heading1"/>
        <w:pageBreakBefore w:val="0"/>
      </w:pPr>
      <w:r>
        <w:t>3. 与关键公共模型的逐项比较</w:t>
      </w:r>
    </w:p>
    <w:p>
      <w:pPr>
        <w:pStyle w:val="Heading2"/>
      </w:pPr>
      <w:r>
        <w:t>3.1 核验后的关键基线事实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71"/>
        <w:gridCol w:w="2171"/>
        <w:gridCol w:w="2171"/>
        <w:gridCol w:w="2171"/>
        <w:gridCol w:w="2171"/>
        <w:gridCol w:w="2171"/>
        <w:gridCol w:w="2171"/>
      </w:tblGrid>
      <w:tr>
        <w:trPr>
          <w:cantSplit/>
          <w:tblHeader w:val="true"/>
        </w:trPr>
        <w:tc>
          <w:tcPr>
            <w:tcW w:type="dxa" w:w="21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模型</w:t>
            </w:r>
          </w:p>
        </w:tc>
        <w:tc>
          <w:tcPr>
            <w:tcW w:type="dxa" w:w="21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公开状态与来源</w:t>
            </w:r>
          </w:p>
        </w:tc>
        <w:tc>
          <w:tcPr>
            <w:tcW w:type="dxa" w:w="21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参数/骨干</w:t>
            </w:r>
          </w:p>
        </w:tc>
        <w:tc>
          <w:tcPr>
            <w:tcW w:type="dxa" w:w="21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token与上下文</w:t>
            </w:r>
          </w:p>
        </w:tc>
        <w:tc>
          <w:tcPr>
            <w:tcW w:type="dxa" w:w="21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预训练数据和目标</w:t>
            </w:r>
          </w:p>
        </w:tc>
        <w:tc>
          <w:tcPr>
            <w:tcW w:type="dxa" w:w="21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最强之处</w:t>
            </w:r>
          </w:p>
        </w:tc>
        <w:tc>
          <w:tcPr>
            <w:tcW w:type="dxa" w:w="21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对本项目专属任务的已知边界</w:t>
            </w:r>
          </w:p>
        </w:tc>
      </w:tr>
      <w:tr>
        <w:trPr>
          <w:cantSplit/>
        </w:trPr>
        <w:tc>
          <w:tcPr>
            <w:tcW w:type="dxa" w:w="21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AgroNT</w:t>
            </w:r>
          </w:p>
        </w:tc>
        <w:tc>
          <w:tcPr>
            <w:tcW w:type="dxa" w:w="21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Communications Biology 2024，</w:t>
            </w:r>
            <w:hyperlink r:id="rId11">
              <w:r>
                <w:rPr>
                  <w:color w:val="2F5597"/>
                  <w:u w:val="single"/>
                  <w:rFonts w:ascii="Noto Sans CJK SC" w:eastAsia="Noto Sans CJK SC"/>
                </w:rPr>
                <w:t>DOI</w:t>
              </w:r>
            </w:hyperlink>
            <w:r>
              <w:rPr>
                <w:rFonts w:ascii="Noto Sans CJK SC" w:hAnsi="Noto Sans CJK SC" w:eastAsia="Noto Sans CJK SC"/>
                <w:b w:val="0"/>
                <w:sz w:val="14"/>
              </w:rPr>
              <w:t>；</w:t>
            </w:r>
            <w:hyperlink r:id="rId12">
              <w:r>
                <w:rPr>
                  <w:color w:val="2F5597"/>
                  <w:u w:val="single"/>
                  <w:rFonts w:ascii="Noto Sans CJK SC" w:eastAsia="Noto Sans CJK SC"/>
                </w:rPr>
                <w:t>权重</w:t>
              </w:r>
            </w:hyperlink>
          </w:p>
        </w:tc>
        <w:tc>
          <w:tcPr>
            <w:tcW w:type="dxa" w:w="21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约1B Transformer；40层、hidden 1500、20 heads</w:t>
            </w:r>
          </w:p>
        </w:tc>
        <w:tc>
          <w:tcPr>
            <w:tcW w:type="dxa" w:w="21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非重叠6-mer；1024/1025 tokens，约6.1 kb</w:t>
            </w:r>
          </w:p>
        </w:tc>
        <w:tc>
          <w:tcPr>
            <w:tcW w:type="dxa" w:w="21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48种、主要为可食用植物；约10.5M片段；315k updates、1.5M tokens/update、报告472.5B processed tokens；MLM</w:t>
            </w:r>
          </w:p>
        </w:tc>
        <w:tc>
          <w:tcPr>
            <w:tcW w:type="dxa" w:w="21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PGB八类任务、调控注释、启动子/终止子强度、染色质、组织表达和变异评分</w:t>
            </w:r>
          </w:p>
        </w:tc>
        <w:tc>
          <w:tcPr>
            <w:tcW w:type="dxa" w:w="21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k-mer使单碱基变异和精确边界解释较困难；单次上下文约6 kb；无U三角/homeolog配对目标</w:t>
            </w:r>
          </w:p>
        </w:tc>
      </w:tr>
      <w:tr>
        <w:trPr>
          <w:cantSplit/>
        </w:trPr>
        <w:tc>
          <w:tcPr>
            <w:tcW w:type="dxa" w:w="21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PlantCAD2-S/M/L</w:t>
            </w:r>
          </w:p>
        </w:tc>
        <w:tc>
          <w:tcPr>
            <w:tcW w:type="dxa" w:w="21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2025 bioRxiv预印本，</w:t>
            </w:r>
            <w:hyperlink r:id="rId13">
              <w:r>
                <w:rPr>
                  <w:color w:val="2F5597"/>
                  <w:u w:val="single"/>
                  <w:rFonts w:ascii="Noto Sans CJK SC" w:eastAsia="Noto Sans CJK SC"/>
                </w:rPr>
                <w:t>DOI</w:t>
              </w:r>
            </w:hyperlink>
            <w:r>
              <w:rPr>
                <w:rFonts w:ascii="Noto Sans CJK SC" w:hAnsi="Noto Sans CJK SC" w:eastAsia="Noto Sans CJK SC"/>
                <w:b w:val="0"/>
                <w:sz w:val="14"/>
              </w:rPr>
              <w:t>；</w:t>
            </w:r>
            <w:hyperlink r:id="rId14">
              <w:r>
                <w:rPr>
                  <w:color w:val="2F5597"/>
                  <w:u w:val="single"/>
                  <w:rFonts w:ascii="Noto Sans CJK SC" w:eastAsia="Noto Sans CJK SC"/>
                </w:rPr>
                <w:t>HF集合</w:t>
              </w:r>
            </w:hyperlink>
          </w:p>
        </w:tc>
        <w:tc>
          <w:tcPr>
            <w:tcW w:type="dxa" w:w="21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文中S/M/L约88M/311M/694M；Mamba2+Caduceus+RC设计</w:t>
            </w:r>
          </w:p>
        </w:tc>
        <w:tc>
          <w:tcPr>
            <w:tcW w:type="dxa" w:w="21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单碱基；8,192 bp</w:t>
            </w:r>
          </w:p>
        </w:tc>
        <w:tc>
          <w:tcPr>
            <w:tcW w:type="dxa" w:w="21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65个被子植物；以基因中心±5 kb区域切成8,192 bp、stride 4,096窗口；240k steps、global batch 2,048、MLM</w:t>
            </w:r>
          </w:p>
        </w:tc>
        <w:tc>
          <w:tcPr>
            <w:tcW w:type="dxa" w:w="21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当前最关键植物基线；12项zero-shot及7项微调任务；跨物种调控、表达、翻译和SV表现强</w:t>
            </w:r>
          </w:p>
        </w:tc>
        <w:tc>
          <w:tcPr>
            <w:tcW w:type="dxa" w:w="21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预训练窗口以基因附近为主，非全基因组；8 kb不能在一次forward内同时观察相距数十kb的证据；未显式学习十字花科多倍体配对</w:t>
            </w:r>
          </w:p>
        </w:tc>
      </w:tr>
      <w:tr>
        <w:trPr>
          <w:cantSplit/>
        </w:trPr>
        <w:tc>
          <w:tcPr>
            <w:tcW w:type="dxa" w:w="21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PlantCaduceus/PlantCAD</w:t>
            </w:r>
          </w:p>
        </w:tc>
        <w:tc>
          <w:tcPr>
            <w:tcW w:type="dxa" w:w="21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PNAS 2025，</w:t>
            </w:r>
            <w:hyperlink r:id="rId15">
              <w:r>
                <w:rPr>
                  <w:color w:val="2F5597"/>
                  <w:u w:val="single"/>
                  <w:rFonts w:ascii="Noto Sans CJK SC" w:eastAsia="Noto Sans CJK SC"/>
                </w:rPr>
                <w:t>DOI</w:t>
              </w:r>
            </w:hyperlink>
            <w:r>
              <w:rPr>
                <w:rFonts w:ascii="Noto Sans CJK SC" w:hAnsi="Noto Sans CJK SC" w:eastAsia="Noto Sans CJK SC"/>
                <w:b w:val="0"/>
                <w:sz w:val="14"/>
              </w:rPr>
              <w:t>；</w:t>
            </w:r>
            <w:hyperlink r:id="rId16">
              <w:r>
                <w:rPr>
                  <w:color w:val="2F5597"/>
                  <w:u w:val="single"/>
                  <w:rFonts w:ascii="Noto Sans CJK SC" w:eastAsia="Noto Sans CJK SC"/>
                </w:rPr>
                <w:t>权重</w:t>
              </w:r>
            </w:hyperlink>
          </w:p>
        </w:tc>
        <w:tc>
          <w:tcPr>
            <w:tcW w:type="dxa" w:w="21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20M–225M；最大l32约225M；Caduceus/Mamba</w:t>
            </w:r>
          </w:p>
        </w:tc>
        <w:tc>
          <w:tcPr>
            <w:tcW w:type="dxa" w:w="21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单碱基；正式论文任务主要使用512 bp</w:t>
            </w:r>
          </w:p>
        </w:tc>
        <w:tc>
          <w:tcPr>
            <w:tcW w:type="dxa" w:w="21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16个被子植物；MLM</w:t>
            </w:r>
          </w:p>
        </w:tc>
        <w:tc>
          <w:tcPr>
            <w:tcW w:type="dxa" w:w="21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单碱基、RC和跨植物迁移；start/stop/splice及变异任务</w:t>
            </w:r>
          </w:p>
        </w:tc>
        <w:tc>
          <w:tcPr>
            <w:tcW w:type="dxa" w:w="21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512 bp无法覆盖长程调控、完整S-locus、NLR簇和多数SV背景</w:t>
            </w:r>
          </w:p>
        </w:tc>
      </w:tr>
      <w:tr>
        <w:trPr>
          <w:cantSplit/>
        </w:trPr>
        <w:tc>
          <w:tcPr>
            <w:tcW w:type="dxa" w:w="21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GPN-Brassicales</w:t>
            </w:r>
          </w:p>
        </w:tc>
        <w:tc>
          <w:tcPr>
            <w:tcW w:type="dxa" w:w="21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PNAS 2023，</w:t>
            </w:r>
            <w:hyperlink r:id="rId17">
              <w:r>
                <w:rPr>
                  <w:color w:val="2F5597"/>
                  <w:u w:val="single"/>
                  <w:rFonts w:ascii="Noto Sans CJK SC" w:eastAsia="Noto Sans CJK SC"/>
                </w:rPr>
                <w:t>DOI</w:t>
              </w:r>
            </w:hyperlink>
            <w:r>
              <w:rPr>
                <w:rFonts w:ascii="Noto Sans CJK SC" w:hAnsi="Noto Sans CJK SC" w:eastAsia="Noto Sans CJK SC"/>
                <w:b w:val="0"/>
                <w:sz w:val="14"/>
              </w:rPr>
              <w:t>；</w:t>
            </w:r>
            <w:hyperlink r:id="rId18">
              <w:r>
                <w:rPr>
                  <w:color w:val="2F5597"/>
                  <w:u w:val="single"/>
                  <w:rFonts w:ascii="Noto Sans CJK SC" w:eastAsia="Noto Sans CJK SC"/>
                </w:rPr>
                <w:t>权重</w:t>
              </w:r>
            </w:hyperlink>
          </w:p>
        </w:tc>
        <w:tc>
          <w:tcPr>
            <w:tcW w:type="dxa" w:w="21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65,880,071参数；25层dilated ConvNet、hidden 512</w:t>
            </w:r>
          </w:p>
        </w:tc>
        <w:tc>
          <w:tcPr>
            <w:tcW w:type="dxa" w:w="21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单碱基；512 bp</w:t>
            </w:r>
          </w:p>
        </w:tc>
        <w:tc>
          <w:tcPr>
            <w:tcW w:type="dxa" w:w="21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Arabidopsis和另外7个Brassicales；MLM</w:t>
            </w:r>
          </w:p>
        </w:tc>
        <w:tc>
          <w:tcPr>
            <w:tcW w:type="dxa" w:w="21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与本项目最近域的变异效应专家，Arabidopsis变异任务必须比较</w:t>
            </w:r>
          </w:p>
        </w:tc>
        <w:tc>
          <w:tcPr>
            <w:tcW w:type="dxa" w:w="21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短上下文、卷积骨干、主要为variant scoring；不直接解决成对homeolog、S-locus长区间或结构事件</w:t>
            </w:r>
          </w:p>
        </w:tc>
      </w:tr>
      <w:tr>
        <w:trPr>
          <w:cantSplit/>
        </w:trPr>
        <w:tc>
          <w:tcPr>
            <w:tcW w:type="dxa" w:w="21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NT-v2-500M</w:t>
            </w:r>
          </w:p>
        </w:tc>
        <w:tc>
          <w:tcPr>
            <w:tcW w:type="dxa" w:w="21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Nature Methods 2025，</w:t>
            </w:r>
            <w:hyperlink r:id="rId19">
              <w:r>
                <w:rPr>
                  <w:color w:val="2F5597"/>
                  <w:u w:val="single"/>
                  <w:rFonts w:ascii="Noto Sans CJK SC" w:eastAsia="Noto Sans CJK SC"/>
                </w:rPr>
                <w:t>DOI</w:t>
              </w:r>
            </w:hyperlink>
            <w:r>
              <w:rPr>
                <w:rFonts w:ascii="Noto Sans CJK SC" w:hAnsi="Noto Sans CJK SC" w:eastAsia="Noto Sans CJK SC"/>
                <w:b w:val="0"/>
                <w:sz w:val="14"/>
              </w:rPr>
              <w:t>；</w:t>
            </w:r>
            <w:hyperlink r:id="rId20">
              <w:r>
                <w:rPr>
                  <w:color w:val="2F5597"/>
                  <w:u w:val="single"/>
                  <w:rFonts w:ascii="Noto Sans CJK SC" w:eastAsia="Noto Sans CJK SC"/>
                </w:rPr>
                <w:t>权重</w:t>
              </w:r>
            </w:hyperlink>
          </w:p>
        </w:tc>
        <w:tc>
          <w:tcPr>
            <w:tcW w:type="dxa" w:w="21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精确498,346,364参数；29层Transformer、hidden 1024、16 heads</w:t>
            </w:r>
          </w:p>
        </w:tc>
        <w:tc>
          <w:tcPr>
            <w:tcW w:type="dxa" w:w="21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6-mer；2,048 tokens，理论约12.3 kb</w:t>
            </w:r>
          </w:p>
        </w:tc>
        <w:tc>
          <w:tcPr>
            <w:tcW w:type="dxa" w:w="21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850个多物种基因组，模型卡明确排除植物和病毒；174B nt/约29B corpus tokens；训练900B processed tokens；MLM</w:t>
            </w:r>
          </w:p>
        </w:tc>
        <w:tc>
          <w:tcPr>
            <w:tcW w:type="dxa" w:w="21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强通用表征和成熟的标准benchmark</w:t>
            </w:r>
          </w:p>
        </w:tc>
        <w:tc>
          <w:tcPr>
            <w:tcW w:type="dxa" w:w="21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植物语料缺失；6-mer；没有植物多倍体关系；对本项目仍是必须的通用负控和迁移基线</w:t>
            </w:r>
          </w:p>
        </w:tc>
      </w:tr>
      <w:tr>
        <w:trPr>
          <w:cantSplit/>
        </w:trPr>
        <w:tc>
          <w:tcPr>
            <w:tcW w:type="dxa" w:w="21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Evo 2</w:t>
            </w:r>
          </w:p>
        </w:tc>
        <w:tc>
          <w:tcPr>
            <w:tcW w:type="dxa" w:w="21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Nature 2026，</w:t>
            </w:r>
            <w:hyperlink r:id="rId21">
              <w:r>
                <w:rPr>
                  <w:color w:val="2F5597"/>
                  <w:u w:val="single"/>
                  <w:rFonts w:ascii="Noto Sans CJK SC" w:eastAsia="Noto Sans CJK SC"/>
                </w:rPr>
                <w:t>DOI</w:t>
              </w:r>
            </w:hyperlink>
            <w:r>
              <w:rPr>
                <w:rFonts w:ascii="Noto Sans CJK SC" w:hAnsi="Noto Sans CJK SC" w:eastAsia="Noto Sans CJK SC"/>
                <w:b w:val="0"/>
                <w:sz w:val="14"/>
              </w:rPr>
              <w:t>；</w:t>
            </w:r>
            <w:hyperlink r:id="rId22">
              <w:r>
                <w:rPr>
                  <w:color w:val="2F5597"/>
                  <w:u w:val="single"/>
                  <w:rFonts w:ascii="Noto Sans CJK SC" w:eastAsia="Noto Sans CJK SC"/>
                </w:rPr>
                <w:t>代码</w:t>
              </w:r>
            </w:hyperlink>
            <w:r>
              <w:rPr>
                <w:rFonts w:ascii="Noto Sans CJK SC" w:hAnsi="Noto Sans CJK SC" w:eastAsia="Noto Sans CJK SC"/>
                <w:b w:val="0"/>
                <w:sz w:val="14"/>
              </w:rPr>
              <w:t>；</w:t>
            </w:r>
            <w:hyperlink r:id="rId23">
              <w:r>
                <w:rPr>
                  <w:color w:val="2F5597"/>
                  <w:u w:val="single"/>
                  <w:rFonts w:ascii="Noto Sans CJK SC" w:eastAsia="Noto Sans CJK SC"/>
                </w:rPr>
                <w:t>7B权重</w:t>
              </w:r>
            </w:hyperlink>
          </w:p>
        </w:tc>
        <w:tc>
          <w:tcPr>
            <w:tcW w:type="dxa" w:w="21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1B/7B/20B/40B公开系列；StripedHyena 2</w:t>
            </w:r>
          </w:p>
        </w:tc>
        <w:tc>
          <w:tcPr>
            <w:tcW w:type="dxa" w:w="21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单碱基byte token；7B/20B/40B可到1M上下文</w:t>
            </w:r>
          </w:p>
        </w:tc>
        <w:tc>
          <w:tcPr>
            <w:tcW w:type="dxa" w:w="21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OpenGenome2约8.8T碱基；7B报告2.4T训练tokens，40B报告9.3T；next-token autoregressive</w:t>
            </w:r>
          </w:p>
        </w:tc>
        <w:tc>
          <w:tcPr>
            <w:tcW w:type="dxa" w:w="21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通用长上下文、变异评分和生成；唯一能在原生长度上覆盖本项目全部128K任务的通用强基线</w:t>
            </w:r>
          </w:p>
        </w:tc>
        <w:tc>
          <w:tcPr>
            <w:tcW w:type="dxa" w:w="21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体量和训练数据远大；目标是跨生命域而非植物；单向因果目标对需要双侧信息的中心位点任务不天然对称；大模型微调成本高</w:t>
            </w:r>
          </w:p>
        </w:tc>
      </w:tr>
      <w:tr>
        <w:trPr>
          <w:cantSplit/>
        </w:trPr>
        <w:tc>
          <w:tcPr>
            <w:tcW w:type="dxa" w:w="21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BrassiCaduceus-330M</w:t>
            </w:r>
          </w:p>
        </w:tc>
        <w:tc>
          <w:tcPr>
            <w:tcW w:type="dxa" w:w="21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本项目，尚无权重</w:t>
            </w:r>
          </w:p>
        </w:tc>
        <w:tc>
          <w:tcPr>
            <w:tcW w:type="dxa" w:w="21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骨干330,985,472；含预训练heads总331,661,083；47层双向tied-projection Mamba</w:t>
            </w:r>
          </w:p>
        </w:tc>
        <w:tc>
          <w:tcPr>
            <w:tcW w:type="dxa" w:w="21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单碱基；4K/8K/16K/32K/64K/128K同一run</w:t>
            </w:r>
          </w:p>
        </w:tc>
        <w:tc>
          <w:tcPr>
            <w:tcW w:type="dxa" w:w="21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仅重新审计的Brassicaceae核基因组；无预定总token上限；coverage-cycle受控复用；MLM+结构+RC+homeolog</w:t>
            </w:r>
          </w:p>
        </w:tc>
        <w:tc>
          <w:tcPr>
            <w:tcW w:type="dxa" w:w="21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十字花科全基因组、单碱基、128K、关系监督和严格防泄漏任务体系</w:t>
            </w:r>
          </w:p>
        </w:tc>
        <w:tc>
          <w:tcPr>
            <w:tcW w:type="dxa" w:w="21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参数远小于Evo 2；最终processed-token/FLOPs规模训练后才知道；没有生成目标；优势必须真实验证</w:t>
            </w:r>
          </w:p>
        </w:tc>
      </w:tr>
    </w:tbl>
    <w:p>
      <w:pPr>
        <w:sectPr>
          <w:pgSz w:w="16838" w:h="11906" w:orient="landscape"/>
          <w:pgMar w:top="879" w:right="822" w:bottom="822" w:left="822" w:header="369" w:footer="369" w:gutter="0"/>
          <w:cols w:space="720"/>
          <w:titlePg/>
          <w:docGrid w:linePitch="360"/>
        </w:sectPr>
      </w:pPr>
    </w:p>
    <w:p>
      <w:r>
        <w:rPr>
          <w:rFonts w:ascii="Noto Sans CJK SC" w:hAnsi="Noto Sans CJK SC" w:eastAsia="Noto Sans CJK SC"/>
          <w:sz w:val="19"/>
        </w:rPr>
        <w:t>PlantCAD2论文内部有一个需要在正式比较时处理的数字差异：摘要写“676M”，正文、图注和公开S/M/L系列写约88M/311M/694M。正式重跑不采用摘要四舍五入数，而是锁定具体Hugging Face revision，并由加载后的</w:t>
      </w:r>
      <w:r>
        <w:rPr>
          <w:rFonts w:ascii="Liberation Mono" w:hAnsi="Liberation Mono" w:eastAsia="Liberation Mono"/>
          <w:color w:val="7A3E00"/>
          <w:sz w:val="18"/>
        </w:rPr>
        <w:t>sum(p.numel())</w:t>
      </w:r>
      <w:r>
        <w:rPr>
          <w:rFonts w:ascii="Noto Sans CJK SC" w:hAnsi="Noto Sans CJK SC" w:eastAsia="Noto Sans CJK SC"/>
          <w:sz w:val="19"/>
        </w:rPr>
        <w:t>生成参数receipt。与本模型最有解释力的两个PlantCAD2对照是约311M的M版本（规模匹配）和约694M的L版本（最强公开植物版本）。</w:t>
      </w:r>
    </w:p>
    <w:p>
      <w:r>
        <w:rPr>
          <w:rFonts w:ascii="Noto Sans CJK SC" w:hAnsi="Noto Sans CJK SC" w:eastAsia="Noto Sans CJK SC"/>
          <w:sz w:val="19"/>
        </w:rPr>
        <w:t>不同模型报告的“token”不能直接横比。AgroNT和NT使用6-mer，Evo 2、本模型和PlantCAD2使用单碱基；“unique corpus bases”“有放回或多epoch处理的tokens”和“实际forward tokens”也不是同一分母。因此正文必须并列报告参数、tokenizer、unique数据容量、processed tokens和上下文，不能只用一个最大数字说明规模。</w:t>
      </w:r>
    </w:p>
    <w:p>
      <w:pPr>
        <w:pStyle w:val="Heading2"/>
      </w:pPr>
      <w:r>
        <w:t>3.2 我们不靠避开基线取胜</w:t>
      </w:r>
    </w:p>
    <w:p>
      <w:r>
        <w:rPr>
          <w:rFonts w:ascii="Noto Sans CJK SC" w:hAnsi="Noto Sans CJK SC" w:eastAsia="Noto Sans CJK SC"/>
          <w:sz w:val="19"/>
        </w:rPr>
        <w:t>公共任务分三条比较轨道：</w:t>
      </w:r>
    </w:p>
    <w:p>
      <w:pPr>
        <w:pStyle w:val="ListNumber"/>
      </w:pPr>
      <w:r>
        <w:rPr>
          <w:rFonts w:ascii="Noto Sans CJK SC" w:hAnsi="Noto Sans CJK SC" w:eastAsia="Noto Sans CJK SC"/>
          <w:b/>
          <w:color w:val="17365D"/>
          <w:sz w:val="18"/>
        </w:rPr>
        <w:t>官方复现轨道</w:t>
      </w:r>
      <w:r>
        <w:rPr>
          <w:rFonts w:ascii="Noto Sans CJK SC" w:hAnsi="Noto Sans CJK SC" w:eastAsia="Noto Sans CJK SC"/>
          <w:sz w:val="18"/>
        </w:rPr>
        <w:t>：按PGB、PlantCAD2或原论文公开输入长度、split和指标重跑，检验实现是否与公开趋势相符。</w:t>
      </w:r>
    </w:p>
    <w:p>
      <w:pPr>
        <w:pStyle w:val="ListNumber"/>
      </w:pPr>
      <w:r>
        <w:rPr>
          <w:rFonts w:ascii="Noto Sans CJK SC" w:hAnsi="Noto Sans CJK SC" w:eastAsia="Noto Sans CJK SC"/>
          <w:b/>
          <w:color w:val="17365D"/>
          <w:sz w:val="18"/>
        </w:rPr>
        <w:t>相同任务合同轨道</w:t>
      </w:r>
      <w:r>
        <w:rPr>
          <w:rFonts w:ascii="Noto Sans CJK SC" w:hAnsi="Noto Sans CJK SC" w:eastAsia="Noto Sans CJK SC"/>
          <w:sz w:val="18"/>
        </w:rPr>
        <w:t>：同一DNA、同一train/development/test、同一负例、同等head/PEFT参数预算和同样五个seed；每个模型使用预注册的实际可见长度。</w:t>
      </w:r>
    </w:p>
    <w:p>
      <w:pPr>
        <w:pStyle w:val="ListNumber"/>
      </w:pPr>
      <w:r>
        <w:rPr>
          <w:rFonts w:ascii="Noto Sans CJK SC" w:hAnsi="Noto Sans CJK SC" w:eastAsia="Noto Sans CJK SC"/>
          <w:b/>
          <w:color w:val="17365D"/>
          <w:sz w:val="18"/>
        </w:rPr>
        <w:t>原生能力轨道</w:t>
      </w:r>
      <w:r>
        <w:rPr>
          <w:rFonts w:ascii="Noto Sans CJK SC" w:hAnsi="Noto Sans CJK SC" w:eastAsia="Noto Sans CJK SC"/>
          <w:sz w:val="18"/>
        </w:rPr>
        <w:t>：允许模型使用自己的最长上下文。短模型中心裁剪并明确“可见6 kb/8 kb/512 bp”，Evo 2可读取完整128K；该轨道评价实际系统能力，不假装只看512 bp就是公平的长程比较。</w:t>
      </w:r>
    </w:p>
    <w:p>
      <w:r>
        <w:rPr>
          <w:rFonts w:ascii="Noto Sans CJK SC" w:hAnsi="Noto Sans CJK SC" w:eastAsia="Noto Sans CJK SC"/>
          <w:sz w:val="19"/>
        </w:rPr>
        <w:t>在一般任务上，目标是对最强公共植物模型达到预注册非劣界限；在十字花科专属任务上，目标是超过</w:t>
      </w:r>
      <w:r>
        <w:rPr>
          <w:rFonts w:ascii="Liberation Mono" w:hAnsi="Liberation Mono" w:eastAsia="Liberation Mono"/>
          <w:color w:val="7A3E00"/>
          <w:sz w:val="18"/>
        </w:rPr>
        <w:t>max(AgroNT, PlantCAD2-L, PlantCaduceus, GPN, Evo2-7B及任务专家)</w:t>
      </w:r>
      <w:r>
        <w:rPr>
          <w:rFonts w:ascii="Noto Sans CJK SC" w:hAnsi="Noto Sans CJK SC" w:eastAsia="Noto Sans CJK SC"/>
          <w:sz w:val="19"/>
        </w:rPr>
        <w:t>中实际可执行的最强者。这里的“目标”不是预写结果，任何未超过都如实报告。</w:t>
      </w:r>
    </w:p>
    <w:p>
      <w:pPr>
        <w:pStyle w:val="Heading1"/>
      </w:pPr>
      <w:r>
        <w:t>4. 数据总体设计</w:t>
      </w:r>
    </w:p>
    <w:p>
      <w:pPr>
        <w:pStyle w:val="Heading2"/>
      </w:pPr>
      <w:r>
        <w:t>4.1 原始来源与当前状态</w:t>
      </w:r>
    </w:p>
    <w:p>
      <w:r>
        <w:rPr>
          <w:rFonts w:ascii="Noto Sans CJK SC" w:hAnsi="Noto Sans CJK SC" w:eastAsia="Noto Sans CJK SC"/>
          <w:sz w:val="19"/>
        </w:rPr>
        <w:t>当前只确认项目外部只读路径</w:t>
      </w:r>
      <w:r>
        <w:rPr>
          <w:rFonts w:ascii="Liberation Mono" w:hAnsi="Liberation Mono" w:eastAsia="Liberation Mono"/>
          <w:color w:val="7A3E00"/>
          <w:sz w:val="18"/>
        </w:rPr>
        <w:t>/home/user/zhangzhishuai/data/plantDB/genome</w:t>
      </w:r>
      <w:r>
        <w:rPr>
          <w:rFonts w:ascii="Noto Sans CJK SC" w:hAnsi="Noto Sans CJK SC" w:eastAsia="Noto Sans CJK SC"/>
          <w:sz w:val="19"/>
        </w:rPr>
        <w:t>存在广义植物数据。新的Brassicaceae清单必须从这里重新解析，并逐条绑定上游稳定来源。候选来源优先顺序是NCBI Assembly/GenBank或RefSeq、Ensembl Plants、Phytozome及原始论文资源；本地文件名本身不能作为来源证明。</w:t>
      </w:r>
    </w:p>
    <w:p>
      <w:r>
        <w:rPr>
          <w:rFonts w:ascii="Noto Sans CJK SC" w:hAnsi="Noto Sans CJK SC" w:eastAsia="Noto Sans CJK SC"/>
          <w:sz w:val="19"/>
        </w:rPr>
        <w:t>每个最终纳入assembly必须记录：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source accession、物种、材料/品种/生态型、NCBI Taxonomy ID；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assembly版本、核型/倍性、单倍型或亚基因组状态；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FASTA、GFF3和重复注释的上游URL/数据库/抓取日期；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原文件字节数和SHA-256；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source sequence hash与规范化ACGTN hash；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许可仅作为来源元数据，不作为重复询问的执行门槛；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质量、污染、注释和是否进入结构监督的receipt。</w:t>
      </w:r>
    </w:p>
    <w:p>
      <w:r>
        <w:rPr>
          <w:rFonts w:ascii="Noto Sans CJK SC" w:hAnsi="Noto Sans CJK SC" w:eastAsia="Noto Sans CJK SC"/>
          <w:sz w:val="19"/>
        </w:rPr>
        <w:t>当前已接受assembly数仍为</w:t>
      </w:r>
      <w:r>
        <w:rPr>
          <w:rFonts w:ascii="Liberation Mono" w:hAnsi="Liberation Mono" w:eastAsia="Liberation Mono"/>
          <w:color w:val="7A3E00"/>
          <w:sz w:val="18"/>
        </w:rPr>
        <w:t>N/A（实际为尚未接受任何新release成员）</w:t>
      </w:r>
      <w:r>
        <w:rPr>
          <w:rFonts w:ascii="Noto Sans CJK SC" w:hAnsi="Noto Sans CJK SC" w:eastAsia="Noto Sans CJK SC"/>
          <w:sz w:val="19"/>
        </w:rPr>
        <w:t>。只有taxonomy和QC完成后才能填入物种数、属数、二倍体/多倍体比例和真实碱基量。</w:t>
      </w:r>
    </w:p>
    <w:p>
      <w:pPr>
        <w:pStyle w:val="Heading2"/>
      </w:pPr>
      <w:r>
        <w:t>4.2 纳入与排除</w:t>
      </w:r>
    </w:p>
    <w:p>
      <w:r>
        <w:rPr>
          <w:rFonts w:ascii="Noto Sans CJK SC" w:hAnsi="Noto Sans CJK SC" w:eastAsia="Noto Sans CJK SC"/>
          <w:sz w:val="19"/>
        </w:rPr>
        <w:t>主体预训练只使用taxonomy明确属于Brassicaceae的核基因组。染色体级/高连续性assembly优先；同一材料多版本只留质量最优者。具有明确生物意义的不同品种、单倍型和泛基因组路径可以保留，但进入近重复簇并限制权重。</w:t>
      </w:r>
    </w:p>
    <w:p>
      <w:r>
        <w:rPr>
          <w:rFonts w:ascii="Noto Sans CJK SC" w:hAnsi="Noto Sans CJK SC" w:eastAsia="Noto Sans CJK SC"/>
          <w:sz w:val="19"/>
        </w:rPr>
        <w:t>排除：叶绿体、线粒体、质粒、明显病原/微生物污染、taxonomy冲突、版本无法追溯、核基因组N比例超过5%、明显重复发布且无独立生物意义、坐标与FASTA不一致的结构标签。低质量注释不一定排除DNA，但不能进入结构监督真值。</w:t>
      </w:r>
    </w:p>
    <w:p>
      <w:pPr>
        <w:pStyle w:val="Heading2"/>
      </w:pPr>
      <w:r>
        <w:t>4.3 六层数据对象</w:t>
      </w:r>
    </w:p>
    <w:p>
      <w:pPr>
        <w:pStyle w:val="ListNumber"/>
      </w:pPr>
      <w:r>
        <w:rPr>
          <w:rFonts w:ascii="Noto Sans CJK SC" w:hAnsi="Noto Sans CJK SC" w:eastAsia="Noto Sans CJK SC"/>
          <w:b/>
          <w:color w:val="17365D"/>
          <w:sz w:val="18"/>
        </w:rPr>
        <w:t>source/assembly层</w:t>
      </w:r>
      <w:r>
        <w:rPr>
          <w:rFonts w:ascii="Noto Sans CJK SC" w:hAnsi="Noto Sans CJK SC" w:eastAsia="Noto Sans CJK SC"/>
          <w:sz w:val="18"/>
        </w:rPr>
        <w:t>：来源、版本、taxonomy、材料、倍性和总体QC。</w:t>
      </w:r>
    </w:p>
    <w:p>
      <w:pPr>
        <w:pStyle w:val="ListNumber"/>
      </w:pPr>
      <w:r>
        <w:rPr>
          <w:rFonts w:ascii="Noto Sans CJK SC" w:hAnsi="Noto Sans CJK SC" w:eastAsia="Noto Sans CJK SC"/>
          <w:b/>
          <w:color w:val="17365D"/>
          <w:sz w:val="18"/>
        </w:rPr>
        <w:t>contig层</w:t>
      </w:r>
      <w:r>
        <w:rPr>
          <w:rFonts w:ascii="Noto Sans CJK SC" w:hAnsi="Noto Sans CJK SC" w:eastAsia="Noto Sans CJK SC"/>
          <w:sz w:val="18"/>
        </w:rPr>
        <w:t>：只编码一次的canonical ACGTN序列、坐标、长度和局部可用性。</w:t>
      </w:r>
    </w:p>
    <w:p>
      <w:pPr>
        <w:pStyle w:val="ListNumber"/>
      </w:pPr>
      <w:r>
        <w:rPr>
          <w:rFonts w:ascii="Noto Sans CJK SC" w:hAnsi="Noto Sans CJK SC" w:eastAsia="Noto Sans CJK SC"/>
          <w:b/>
          <w:color w:val="17365D"/>
          <w:sz w:val="18"/>
        </w:rPr>
        <w:t>similarity cluster层</w:t>
      </w:r>
      <w:r>
        <w:rPr>
          <w:rFonts w:ascii="Noto Sans CJK SC" w:hAnsi="Noto Sans CJK SC" w:eastAsia="Noto Sans CJK SC"/>
          <w:sz w:val="18"/>
        </w:rPr>
        <w:t>：assembly/contig/窗口近重复及不可拆分split组件。</w:t>
      </w:r>
    </w:p>
    <w:p>
      <w:pPr>
        <w:pStyle w:val="ListNumber"/>
      </w:pPr>
      <w:r>
        <w:rPr>
          <w:rFonts w:ascii="Noto Sans CJK SC" w:hAnsi="Noto Sans CJK SC" w:eastAsia="Noto Sans CJK SC"/>
          <w:b/>
          <w:color w:val="17365D"/>
          <w:sz w:val="18"/>
        </w:rPr>
        <w:t>anchor层</w:t>
      </w:r>
      <w:r>
        <w:rPr>
          <w:rFonts w:ascii="Noto Sans CJK SC" w:hAnsi="Noto Sans CJK SC" w:eastAsia="Noto Sans CJK SC"/>
          <w:sz w:val="18"/>
        </w:rPr>
        <w:t>：相互覆盖超过80%的候选窗口归为同一anchor；每个coverage cycle内最多消费一次，跨cycle暴露单独记账。</w:t>
      </w:r>
    </w:p>
    <w:p>
      <w:pPr>
        <w:pStyle w:val="ListNumber"/>
      </w:pPr>
      <w:r>
        <w:rPr>
          <w:rFonts w:ascii="Noto Sans CJK SC" w:hAnsi="Noto Sans CJK SC" w:eastAsia="Noto Sans CJK SC"/>
          <w:b/>
          <w:color w:val="17365D"/>
          <w:sz w:val="18"/>
        </w:rPr>
        <w:t>window层</w:t>
      </w:r>
      <w:r>
        <w:rPr>
          <w:rFonts w:ascii="Noto Sans CJK SC" w:hAnsi="Noto Sans CJK SC" w:eastAsia="Noto Sans CJK SC"/>
          <w:sz w:val="18"/>
        </w:rPr>
        <w:t>：一个anchor只选择4K–128K中的一种正式长度，携带region、QC和split字段。</w:t>
      </w:r>
    </w:p>
    <w:p>
      <w:pPr>
        <w:pStyle w:val="ListNumber"/>
      </w:pPr>
      <w:r>
        <w:rPr>
          <w:rFonts w:ascii="Noto Sans CJK SC" w:hAnsi="Noto Sans CJK SC" w:eastAsia="Noto Sans CJK SC"/>
          <w:b/>
          <w:color w:val="17365D"/>
          <w:sz w:val="18"/>
        </w:rPr>
        <w:t>label/pair层</w:t>
      </w:r>
      <w:r>
        <w:rPr>
          <w:rFonts w:ascii="Noto Sans CJK SC" w:hAnsi="Noto Sans CJK SC" w:eastAsia="Noto Sans CJK SC"/>
          <w:sz w:val="18"/>
        </w:rPr>
        <w:t>：逐碱基结构标签、高可信ortholog/homeolog关系以及有效性mask；标签和DNA分开存储但共享release ID。</w:t>
      </w:r>
    </w:p>
    <w:p>
      <w:pPr>
        <w:pStyle w:val="Heading2"/>
      </w:pPr>
      <w:r>
        <w:t>4.4 QC和去重</w:t>
      </w:r>
    </w:p>
    <w:p>
      <w:r>
        <w:rPr>
          <w:rFonts w:ascii="Noto Sans CJK SC" w:hAnsi="Noto Sans CJK SC" w:eastAsia="Noto Sans CJK SC"/>
          <w:sz w:val="19"/>
        </w:rPr>
        <w:t>Assembly receipt至少包含总长度、contig数、N50/L50、最大contig、N比例、GC、非ACGTN字符、BUSCO、污染、预期基因组大小偏差和注释可用性。窗口重新计算</w:t>
      </w:r>
      <w:r>
        <w:rPr>
          <w:rFonts w:ascii="Liberation Mono" w:hAnsi="Liberation Mono" w:eastAsia="Liberation Mono"/>
          <w:color w:val="7A3E00"/>
          <w:sz w:val="18"/>
        </w:rPr>
        <w:t>N_fraction &lt;=1%</w:t>
      </w:r>
      <w:r>
        <w:rPr>
          <w:rFonts w:ascii="Noto Sans CJK SC" w:hAnsi="Noto Sans CJK SC" w:eastAsia="Noto Sans CJK SC"/>
          <w:sz w:val="19"/>
        </w:rPr>
        <w:t>、不得有连续≥32 bp的N、不得跨contig、非法字符为0，并记录低复杂度、TE和区域类型。</w:t>
      </w:r>
    </w:p>
    <w:p>
      <w:r>
        <w:rPr>
          <w:rFonts w:ascii="Noto Sans CJK SC" w:hAnsi="Noto Sans CJK SC" w:eastAsia="Noto Sans CJK SC"/>
          <w:sz w:val="19"/>
        </w:rPr>
        <w:t>去重顺序是：真实序列hash的assembly/contig exact去重；</w:t>
      </w:r>
      <w:r>
        <w:rPr>
          <w:rFonts w:ascii="Liberation Mono" w:hAnsi="Liberation Mono" w:eastAsia="Liberation Mono"/>
          <w:color w:val="7A3E00"/>
          <w:sz w:val="18"/>
        </w:rPr>
        <w:t>min(sequence, RC(sequence))</w:t>
      </w:r>
      <w:r>
        <w:rPr>
          <w:rFonts w:ascii="Noto Sans CJK SC" w:hAnsi="Noto Sans CJK SC" w:eastAsia="Noto Sans CJK SC"/>
          <w:sz w:val="19"/>
        </w:rPr>
        <w:t>窗口exact去重；重叠anchor；MinHash候选加ANI/局部比对确认的近重复聚类。ANI≥99.9%且覆盖≥90%的assembly默认实质重复；99.5%–99.9%同簇；跨split窗口若identity≥98%且覆盖较短窗口≥80%，必须并簇或移出评估。</w:t>
      </w:r>
    </w:p>
    <w:p>
      <w:pPr>
        <w:pStyle w:val="Heading2"/>
      </w:pPr>
      <w:r>
        <w:t>4.5 训练、development、sealed test和迁移外群</w:t>
      </w:r>
    </w:p>
    <w:p>
      <w:r>
        <w:rPr>
          <w:rFonts w:ascii="Noto Sans CJK SC" w:hAnsi="Noto Sans CJK SC" w:eastAsia="Noto Sans CJK SC"/>
          <w:sz w:val="19"/>
        </w:rPr>
        <w:t>相似性簇是不可拆分单位，容量目标约90%/5%/5%，不是随机切窗口：</w:t>
      </w:r>
    </w:p>
    <w:p>
      <w:pPr>
        <w:pStyle w:val="ListBullet"/>
      </w:pPr>
      <w:r>
        <w:rPr>
          <w:rFonts w:ascii="Noto Sans CJK SC" w:hAnsi="Noto Sans CJK SC" w:eastAsia="Noto Sans CJK SC"/>
          <w:b/>
          <w:color w:val="17365D"/>
          <w:sz w:val="18"/>
        </w:rPr>
        <w:t>train</w:t>
      </w:r>
      <w:r>
        <w:rPr>
          <w:rFonts w:ascii="Noto Sans CJK SC" w:hAnsi="Noto Sans CJK SC" w:eastAsia="Noto Sans CJK SC"/>
          <w:sz w:val="18"/>
        </w:rPr>
        <w:t>：预训练参数更新；无预定累计token上限。首轮unique容量由新release实测，后续processed exposure通过coverage cycle受控增加。</w:t>
      </w:r>
    </w:p>
    <w:p>
      <w:pPr>
        <w:pStyle w:val="ListBullet"/>
      </w:pPr>
      <w:r>
        <w:rPr>
          <w:rFonts w:ascii="Noto Sans CJK SC" w:hAnsi="Noto Sans CJK SC" w:eastAsia="Noto Sans CJK SC"/>
          <w:b/>
          <w:color w:val="17365D"/>
          <w:sz w:val="18"/>
        </w:rPr>
        <w:t>development split</w:t>
      </w:r>
      <w:r>
        <w:rPr>
          <w:rFonts w:ascii="Noto Sans CJK SC" w:hAnsi="Noto Sans CJK SC" w:eastAsia="Noto Sans CJK SC"/>
          <w:sz w:val="18"/>
        </w:rPr>
        <w:t>：只用于固定MLM panel、训练诊断和checkpoint选择；不参与参数更新。</w:t>
      </w:r>
    </w:p>
    <w:p>
      <w:pPr>
        <w:pStyle w:val="ListBullet"/>
      </w:pPr>
      <w:r>
        <w:rPr>
          <w:rFonts w:ascii="Noto Sans CJK SC" w:hAnsi="Noto Sans CJK SC" w:eastAsia="Noto Sans CJK SC"/>
          <w:b/>
          <w:color w:val="17365D"/>
          <w:sz w:val="18"/>
        </w:rPr>
        <w:t>sealed pretraining test</w:t>
      </w:r>
      <w:r>
        <w:rPr>
          <w:rFonts w:ascii="Noto Sans CJK SC" w:hAnsi="Noto Sans CJK SC" w:eastAsia="Noto Sans CJK SC"/>
          <w:sz w:val="18"/>
        </w:rPr>
        <w:t>：winner冻结后一次性评估预训练语言建模能力。</w:t>
      </w:r>
    </w:p>
    <w:p>
      <w:pPr>
        <w:pStyle w:val="ListBullet"/>
      </w:pPr>
      <w:r>
        <w:rPr>
          <w:rFonts w:ascii="Noto Sans CJK SC" w:hAnsi="Noto Sans CJK SC" w:eastAsia="Noto Sans CJK SC"/>
          <w:b/>
          <w:color w:val="17365D"/>
          <w:sz w:val="18"/>
        </w:rPr>
        <w:t>acceptance pool</w:t>
      </w:r>
      <w:r>
        <w:rPr>
          <w:rFonts w:ascii="Noto Sans CJK SC" w:hAnsi="Noto Sans CJK SC" w:eastAsia="Noto Sans CJK SC"/>
          <w:sz w:val="18"/>
        </w:rPr>
        <w:t>：永久排除于train/development/test和正式下游，用完整模型做128K硬件/语义验收。</w:t>
      </w:r>
    </w:p>
    <w:p>
      <w:pPr>
        <w:pStyle w:val="ListBullet"/>
      </w:pPr>
      <w:r>
        <w:rPr>
          <w:rFonts w:ascii="Noto Sans CJK SC" w:hAnsi="Noto Sans CJK SC" w:eastAsia="Noto Sans CJK SC"/>
          <w:b/>
          <w:color w:val="17365D"/>
          <w:sz w:val="18"/>
        </w:rPr>
        <w:t>Brassicales外群和整属留出</w:t>
      </w:r>
      <w:r>
        <w:rPr>
          <w:rFonts w:ascii="Noto Sans CJK SC" w:hAnsi="Noto Sans CJK SC" w:eastAsia="Noto Sans CJK SC"/>
          <w:sz w:val="18"/>
        </w:rPr>
        <w:t>：不参加Brassicaceae主体预训练，用于true genus/species holdout和迁移。</w:t>
      </w:r>
    </w:p>
    <w:p>
      <w:r>
        <w:rPr>
          <w:rFonts w:ascii="Noto Sans CJK SC" w:hAnsi="Noto Sans CJK SC" w:eastAsia="Noto Sans CJK SC"/>
          <w:sz w:val="19"/>
        </w:rPr>
        <w:t>下游任务拥有独立的orthogroup、cultivar、study、LD block、haplotype clan、SV component或染色体block split。预训练90/5/5不能替代下游防泄漏。</w:t>
      </w:r>
    </w:p>
    <w:p>
      <w:pPr>
        <w:sectPr>
          <w:pgSz w:w="11906" w:h="16838"/>
          <w:pgMar w:top="879" w:right="992" w:bottom="822" w:left="992" w:header="369" w:footer="369" w:gutter="0"/>
          <w:cols w:space="720"/>
          <w:titlePg/>
          <w:docGrid w:linePitch="360"/>
        </w:sectPr>
      </w:pPr>
    </w:p>
    <w:p>
      <w:pPr>
        <w:pStyle w:val="Heading2"/>
        <w:pageBreakBefore w:val="0"/>
      </w:pPr>
      <w:r>
        <w:t>4.6 预训练窗口长度和长期混合比例</w:t>
      </w:r>
    </w:p>
    <w:p>
      <w:r>
        <w:rPr>
          <w:rFonts w:ascii="Noto Sans CJK SC" w:hAnsi="Noto Sans CJK SC" w:eastAsia="Noto Sans CJK SC"/>
          <w:sz w:val="19"/>
        </w:rPr>
        <w:t>每个optimizer step固定调度786,432个</w:t>
      </w:r>
      <w:r>
        <w:rPr>
          <w:rFonts w:ascii="Liberation Mono" w:hAnsi="Liberation Mono" w:eastAsia="Liberation Mono"/>
          <w:color w:val="7A3E00"/>
          <w:sz w:val="18"/>
        </w:rPr>
        <w:t>scheduled_sampling_tokens</w:t>
      </w:r>
      <w:r>
        <w:rPr>
          <w:rFonts w:ascii="Noto Sans CJK SC" w:hAnsi="Noto Sans CJK SC" w:eastAsia="Noto Sans CJK SC"/>
          <w:sz w:val="19"/>
        </w:rPr>
        <w:t>，所以不同长度的全局窗口数不同。正式训练没有总step或总token上限；长期比例固定为9.5%/19.0%/19.5%/25.0%/21.0%/6.0%，由累计token缺口调度器从第一步持续维持。</w:t>
      </w:r>
    </w:p>
    <w:p>
      <w:r>
        <w:rPr>
          <w:rFonts w:ascii="Noto Sans CJK SC" w:hAnsi="Noto Sans CJK SC" w:eastAsia="Noto Sans CJK SC"/>
          <w:sz w:val="19"/>
        </w:rPr>
        <w:t>下表使用10,000个optimizer steps作为方便核验的参考记账块。它不是训练阶段、训练上限或停止点；真实run跨过记账块时模型、优化器、scheduler、sampler cycle和全局step都连续。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32"/>
        <w:gridCol w:w="2532"/>
        <w:gridCol w:w="2532"/>
        <w:gridCol w:w="2532"/>
        <w:gridCol w:w="2532"/>
        <w:gridCol w:w="2532"/>
      </w:tblGrid>
      <w:tr>
        <w:trPr>
          <w:cantSplit/>
          <w:tblHeader w:val="true"/>
        </w:trPr>
        <w:tc>
          <w:tcPr>
            <w:tcW w:type="dxa" w:w="25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context</w:t>
            </w:r>
          </w:p>
        </w:tc>
        <w:tc>
          <w:tcPr>
            <w:tcW w:type="dxa" w:w="25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长期token比例</w:t>
            </w:r>
          </w:p>
        </w:tc>
        <w:tc>
          <w:tcPr>
            <w:tcW w:type="dxa" w:w="25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全局窗口/step</w:t>
            </w:r>
          </w:p>
        </w:tc>
        <w:tc>
          <w:tcPr>
            <w:tcW w:type="dxa" w:w="25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每10,000步参考steps</w:t>
            </w:r>
          </w:p>
        </w:tc>
        <w:tc>
          <w:tcPr>
            <w:tcW w:type="dxa" w:w="25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参考窗口数</w:t>
            </w:r>
          </w:p>
        </w:tc>
        <w:tc>
          <w:tcPr>
            <w:tcW w:type="dxa" w:w="25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参考scheduled tokens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4,096</w:t>
            </w:r>
          </w:p>
        </w:tc>
        <w:tc>
          <w:tcPr>
            <w:tcW w:type="dxa" w:w="25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9.5%</w:t>
            </w:r>
          </w:p>
        </w:tc>
        <w:tc>
          <w:tcPr>
            <w:tcW w:type="dxa" w:w="25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192</w:t>
            </w:r>
          </w:p>
        </w:tc>
        <w:tc>
          <w:tcPr>
            <w:tcW w:type="dxa" w:w="25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950</w:t>
            </w:r>
          </w:p>
        </w:tc>
        <w:tc>
          <w:tcPr>
            <w:tcW w:type="dxa" w:w="25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182,400</w:t>
            </w:r>
          </w:p>
        </w:tc>
        <w:tc>
          <w:tcPr>
            <w:tcW w:type="dxa" w:w="25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747,110,400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8,192</w:t>
            </w:r>
          </w:p>
        </w:tc>
        <w:tc>
          <w:tcPr>
            <w:tcW w:type="dxa" w:w="25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19.0%</w:t>
            </w:r>
          </w:p>
        </w:tc>
        <w:tc>
          <w:tcPr>
            <w:tcW w:type="dxa" w:w="25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96</w:t>
            </w:r>
          </w:p>
        </w:tc>
        <w:tc>
          <w:tcPr>
            <w:tcW w:type="dxa" w:w="25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1,900</w:t>
            </w:r>
          </w:p>
        </w:tc>
        <w:tc>
          <w:tcPr>
            <w:tcW w:type="dxa" w:w="25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182,400</w:t>
            </w:r>
          </w:p>
        </w:tc>
        <w:tc>
          <w:tcPr>
            <w:tcW w:type="dxa" w:w="25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1,494,220,800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16,384</w:t>
            </w:r>
          </w:p>
        </w:tc>
        <w:tc>
          <w:tcPr>
            <w:tcW w:type="dxa" w:w="25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19.5%</w:t>
            </w:r>
          </w:p>
        </w:tc>
        <w:tc>
          <w:tcPr>
            <w:tcW w:type="dxa" w:w="25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48</w:t>
            </w:r>
          </w:p>
        </w:tc>
        <w:tc>
          <w:tcPr>
            <w:tcW w:type="dxa" w:w="25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1,950</w:t>
            </w:r>
          </w:p>
        </w:tc>
        <w:tc>
          <w:tcPr>
            <w:tcW w:type="dxa" w:w="25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93,600</w:t>
            </w:r>
          </w:p>
        </w:tc>
        <w:tc>
          <w:tcPr>
            <w:tcW w:type="dxa" w:w="25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1,533,542,400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32,768</w:t>
            </w:r>
          </w:p>
        </w:tc>
        <w:tc>
          <w:tcPr>
            <w:tcW w:type="dxa" w:w="25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25.0%</w:t>
            </w:r>
          </w:p>
        </w:tc>
        <w:tc>
          <w:tcPr>
            <w:tcW w:type="dxa" w:w="25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24</w:t>
            </w:r>
          </w:p>
        </w:tc>
        <w:tc>
          <w:tcPr>
            <w:tcW w:type="dxa" w:w="25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2,500</w:t>
            </w:r>
          </w:p>
        </w:tc>
        <w:tc>
          <w:tcPr>
            <w:tcW w:type="dxa" w:w="25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60,000</w:t>
            </w:r>
          </w:p>
        </w:tc>
        <w:tc>
          <w:tcPr>
            <w:tcW w:type="dxa" w:w="25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1,966,080,000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65,536</w:t>
            </w:r>
          </w:p>
        </w:tc>
        <w:tc>
          <w:tcPr>
            <w:tcW w:type="dxa" w:w="25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21.0%</w:t>
            </w:r>
          </w:p>
        </w:tc>
        <w:tc>
          <w:tcPr>
            <w:tcW w:type="dxa" w:w="25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12</w:t>
            </w:r>
          </w:p>
        </w:tc>
        <w:tc>
          <w:tcPr>
            <w:tcW w:type="dxa" w:w="25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2,100</w:t>
            </w:r>
          </w:p>
        </w:tc>
        <w:tc>
          <w:tcPr>
            <w:tcW w:type="dxa" w:w="25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25,200</w:t>
            </w:r>
          </w:p>
        </w:tc>
        <w:tc>
          <w:tcPr>
            <w:tcW w:type="dxa" w:w="25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1,651,507,200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131,072</w:t>
            </w:r>
          </w:p>
        </w:tc>
        <w:tc>
          <w:tcPr>
            <w:tcW w:type="dxa" w:w="25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6.0%</w:t>
            </w:r>
          </w:p>
        </w:tc>
        <w:tc>
          <w:tcPr>
            <w:tcW w:type="dxa" w:w="25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6</w:t>
            </w:r>
          </w:p>
        </w:tc>
        <w:tc>
          <w:tcPr>
            <w:tcW w:type="dxa" w:w="25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600</w:t>
            </w:r>
          </w:p>
        </w:tc>
        <w:tc>
          <w:tcPr>
            <w:tcW w:type="dxa" w:w="25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3,600</w:t>
            </w:r>
          </w:p>
        </w:tc>
        <w:tc>
          <w:tcPr>
            <w:tcW w:type="dxa" w:w="25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471,859,200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color w:val="17365D"/>
                <w:sz w:val="15"/>
              </w:rPr>
              <w:t>合计</w:t>
            </w:r>
          </w:p>
        </w:tc>
        <w:tc>
          <w:tcPr>
            <w:tcW w:type="dxa" w:w="25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color w:val="17365D"/>
                <w:sz w:val="15"/>
              </w:rPr>
              <w:t>100%</w:t>
            </w:r>
          </w:p>
        </w:tc>
        <w:tc>
          <w:tcPr>
            <w:tcW w:type="dxa" w:w="25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—</w:t>
            </w:r>
          </w:p>
        </w:tc>
        <w:tc>
          <w:tcPr>
            <w:tcW w:type="dxa" w:w="25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color w:val="17365D"/>
                <w:sz w:val="15"/>
              </w:rPr>
              <w:t>10,000</w:t>
            </w:r>
          </w:p>
        </w:tc>
        <w:tc>
          <w:tcPr>
            <w:tcW w:type="dxa" w:w="25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color w:val="17365D"/>
                <w:sz w:val="15"/>
              </w:rPr>
              <w:t>547,200</w:t>
            </w:r>
          </w:p>
        </w:tc>
        <w:tc>
          <w:tcPr>
            <w:tcW w:type="dxa" w:w="25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color w:val="17365D"/>
                <w:sz w:val="15"/>
              </w:rPr>
              <w:t>7,864,320,000</w:t>
            </w:r>
          </w:p>
        </w:tc>
      </w:tr>
    </w:tbl>
    <w:p>
      <w:pPr>
        <w:sectPr>
          <w:pgSz w:w="16838" w:h="11906" w:orient="landscape"/>
          <w:pgMar w:top="879" w:right="822" w:bottom="822" w:left="822" w:header="369" w:footer="369" w:gutter="0"/>
          <w:cols w:space="720"/>
          <w:titlePg/>
          <w:docGrid w:linePitch="360"/>
        </w:sectPr>
      </w:pPr>
    </w:p>
    <w:p>
      <w:r>
        <w:rPr>
          <w:rFonts w:ascii="Noto Sans CJK SC" w:hAnsi="Noto Sans CJK SC" w:eastAsia="Noto Sans CJK SC"/>
          <w:sz w:val="19"/>
        </w:rPr>
        <w:t>窗口数随长度下降是正常现象；训练权重按token和有效标签数归一化，不能按“窗口条数”平均。首个coverage cycle中，每step调度的primary tokens属于首次anchor暴露；进入后续cycle后仍增加</w:t>
      </w:r>
      <w:r>
        <w:rPr>
          <w:rFonts w:ascii="Liberation Mono" w:hAnsi="Liberation Mono" w:eastAsia="Liberation Mono"/>
          <w:color w:val="7A3E00"/>
          <w:sz w:val="18"/>
        </w:rPr>
        <w:t>scheduled_sampling_tokens</w:t>
      </w:r>
      <w:r>
        <w:rPr>
          <w:rFonts w:ascii="Noto Sans CJK SC" w:hAnsi="Noto Sans CJK SC" w:eastAsia="Noto Sans CJK SC"/>
          <w:sz w:val="19"/>
        </w:rPr>
        <w:t>，但不再增加已经覆盖过的</w:t>
      </w:r>
      <w:r>
        <w:rPr>
          <w:rFonts w:ascii="Liberation Mono" w:hAnsi="Liberation Mono" w:eastAsia="Liberation Mono"/>
          <w:color w:val="7A3E00"/>
          <w:sz w:val="18"/>
        </w:rPr>
        <w:t>unique_corpus_tokens_covered</w:t>
      </w:r>
      <w:r>
        <w:rPr>
          <w:rFonts w:ascii="Noto Sans CJK SC" w:hAnsi="Noto Sans CJK SC" w:eastAsia="Noto Sans CJK SC"/>
          <w:sz w:val="19"/>
        </w:rPr>
        <w:t>。5%的anchor额外计算RC第二视图，增加</w:t>
      </w:r>
      <w:r>
        <w:rPr>
          <w:rFonts w:ascii="Liberation Mono" w:hAnsi="Liberation Mono" w:eastAsia="Liberation Mono"/>
          <w:color w:val="7A3E00"/>
          <w:sz w:val="18"/>
        </w:rPr>
        <w:t>processed_forward_tokens</w:t>
      </w:r>
      <w:r>
        <w:rPr>
          <w:rFonts w:ascii="Noto Sans CJK SC" w:hAnsi="Noto Sans CJK SC" w:eastAsia="Noto Sans CJK SC"/>
          <w:sz w:val="19"/>
        </w:rPr>
        <w:t>和forward compute，不增加primary scheduled tokens。</w:t>
      </w:r>
    </w:p>
    <w:p>
      <w:r>
        <w:rPr>
          <w:rFonts w:ascii="Noto Sans CJK SC" w:hAnsi="Noto Sans CJK SC" w:eastAsia="Noto Sans CJK SC"/>
          <w:sz w:val="19"/>
        </w:rPr>
        <w:t>固定development panel每次评估处理50,331,648个forward tokens。由于正式run没有固定评估次数，不再预写“development总共占训练百分之多少”；每次及累计development开销都在训练日志中单独记账。Development/test split中未进入固定panel的容量作为冻结储备，不得在看过结果后反复抽新panel挑checkpoint。</w:t>
      </w:r>
    </w:p>
    <w:p>
      <w:pPr>
        <w:sectPr>
          <w:pgSz w:w="11906" w:h="16838"/>
          <w:pgMar w:top="879" w:right="992" w:bottom="822" w:left="992" w:header="369" w:footer="369" w:gutter="0"/>
          <w:cols w:space="720"/>
          <w:titlePg/>
          <w:docGrid w:linePitch="360"/>
        </w:sectPr>
      </w:pPr>
    </w:p>
    <w:p>
      <w:pPr>
        <w:pStyle w:val="Heading2"/>
        <w:pageBreakBefore w:val="0"/>
      </w:pPr>
      <w:r>
        <w:t>4.7 固定development、sealed test与acceptance窗口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88"/>
        <w:gridCol w:w="1688"/>
        <w:gridCol w:w="1688"/>
        <w:gridCol w:w="1688"/>
        <w:gridCol w:w="1688"/>
        <w:gridCol w:w="1688"/>
        <w:gridCol w:w="1688"/>
        <w:gridCol w:w="1688"/>
        <w:gridCol w:w="1688"/>
      </w:tblGrid>
      <w:tr>
        <w:trPr>
          <w:cantSplit/>
          <w:tblHeader w:val="true"/>
        </w:trPr>
        <w:tc>
          <w:tcPr>
            <w:tcW w:type="dxa" w:w="16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数据用途</w:t>
            </w:r>
          </w:p>
        </w:tc>
        <w:tc>
          <w:tcPr>
            <w:tcW w:type="dxa" w:w="16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4K steps/窗口</w:t>
            </w:r>
          </w:p>
        </w:tc>
        <w:tc>
          <w:tcPr>
            <w:tcW w:type="dxa" w:w="16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8K</w:t>
            </w:r>
          </w:p>
        </w:tc>
        <w:tc>
          <w:tcPr>
            <w:tcW w:type="dxa" w:w="16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16K</w:t>
            </w:r>
          </w:p>
        </w:tc>
        <w:tc>
          <w:tcPr>
            <w:tcW w:type="dxa" w:w="16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32K</w:t>
            </w:r>
          </w:p>
        </w:tc>
        <w:tc>
          <w:tcPr>
            <w:tcW w:type="dxa" w:w="16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64K</w:t>
            </w:r>
          </w:p>
        </w:tc>
        <w:tc>
          <w:tcPr>
            <w:tcW w:type="dxa" w:w="16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128K</w:t>
            </w:r>
          </w:p>
        </w:tc>
        <w:tc>
          <w:tcPr>
            <w:tcW w:type="dxa" w:w="16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合计窗口</w:t>
            </w:r>
          </w:p>
        </w:tc>
        <w:tc>
          <w:tcPr>
            <w:tcW w:type="dxa" w:w="16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合计tokens</w:t>
            </w:r>
          </w:p>
        </w:tc>
      </w:tr>
      <w:tr>
        <w:trPr>
          <w:cantSplit/>
        </w:trPr>
        <w:tc>
          <w:tcPr>
            <w:tcW w:type="dxa" w:w="16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固定development panel</w:t>
            </w:r>
          </w:p>
        </w:tc>
        <w:tc>
          <w:tcPr>
            <w:tcW w:type="dxa" w:w="16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6 / 1,152</w:t>
            </w:r>
          </w:p>
        </w:tc>
        <w:tc>
          <w:tcPr>
            <w:tcW w:type="dxa" w:w="16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12 / 1,152</w:t>
            </w:r>
          </w:p>
        </w:tc>
        <w:tc>
          <w:tcPr>
            <w:tcW w:type="dxa" w:w="16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13 / 624</w:t>
            </w:r>
          </w:p>
        </w:tc>
        <w:tc>
          <w:tcPr>
            <w:tcW w:type="dxa" w:w="16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16 / 384</w:t>
            </w:r>
          </w:p>
        </w:tc>
        <w:tc>
          <w:tcPr>
            <w:tcW w:type="dxa" w:w="16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13 / 156</w:t>
            </w:r>
          </w:p>
        </w:tc>
        <w:tc>
          <w:tcPr>
            <w:tcW w:type="dxa" w:w="16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4 / 24</w:t>
            </w:r>
          </w:p>
        </w:tc>
        <w:tc>
          <w:tcPr>
            <w:tcW w:type="dxa" w:w="16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3,492</w:t>
            </w:r>
          </w:p>
        </w:tc>
        <w:tc>
          <w:tcPr>
            <w:tcW w:type="dxa" w:w="16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50,331,648</w:t>
            </w:r>
          </w:p>
        </w:tc>
      </w:tr>
      <w:tr>
        <w:trPr>
          <w:cantSplit/>
        </w:trPr>
        <w:tc>
          <w:tcPr>
            <w:tcW w:type="dxa" w:w="16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一次性sealed pretraining test</w:t>
            </w:r>
          </w:p>
        </w:tc>
        <w:tc>
          <w:tcPr>
            <w:tcW w:type="dxa" w:w="16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12 / 2,304</w:t>
            </w:r>
          </w:p>
        </w:tc>
        <w:tc>
          <w:tcPr>
            <w:tcW w:type="dxa" w:w="16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24 / 2,304</w:t>
            </w:r>
          </w:p>
        </w:tc>
        <w:tc>
          <w:tcPr>
            <w:tcW w:type="dxa" w:w="16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25 / 1,200</w:t>
            </w:r>
          </w:p>
        </w:tc>
        <w:tc>
          <w:tcPr>
            <w:tcW w:type="dxa" w:w="16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32 / 768</w:t>
            </w:r>
          </w:p>
        </w:tc>
        <w:tc>
          <w:tcPr>
            <w:tcW w:type="dxa" w:w="16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27 / 324</w:t>
            </w:r>
          </w:p>
        </w:tc>
        <w:tc>
          <w:tcPr>
            <w:tcW w:type="dxa" w:w="16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8 / 48</w:t>
            </w:r>
          </w:p>
        </w:tc>
        <w:tc>
          <w:tcPr>
            <w:tcW w:type="dxa" w:w="16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6,948</w:t>
            </w:r>
          </w:p>
        </w:tc>
        <w:tc>
          <w:tcPr>
            <w:tcW w:type="dxa" w:w="16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100,663,296</w:t>
            </w:r>
          </w:p>
        </w:tc>
      </w:tr>
      <w:tr>
        <w:trPr>
          <w:cantSplit/>
        </w:trPr>
        <w:tc>
          <w:tcPr>
            <w:tcW w:type="dxa" w:w="16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完整模型acceptance pool</w:t>
            </w:r>
          </w:p>
        </w:tc>
        <w:tc>
          <w:tcPr>
            <w:tcW w:type="dxa" w:w="16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10 / 1,920</w:t>
            </w:r>
          </w:p>
        </w:tc>
        <w:tc>
          <w:tcPr>
            <w:tcW w:type="dxa" w:w="16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10 / 960</w:t>
            </w:r>
          </w:p>
        </w:tc>
        <w:tc>
          <w:tcPr>
            <w:tcW w:type="dxa" w:w="16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10 / 480</w:t>
            </w:r>
          </w:p>
        </w:tc>
        <w:tc>
          <w:tcPr>
            <w:tcW w:type="dxa" w:w="16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10 / 240</w:t>
            </w:r>
          </w:p>
        </w:tc>
        <w:tc>
          <w:tcPr>
            <w:tcW w:type="dxa" w:w="16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10 / 120</w:t>
            </w:r>
          </w:p>
        </w:tc>
        <w:tc>
          <w:tcPr>
            <w:tcW w:type="dxa" w:w="16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100 / 600</w:t>
            </w:r>
          </w:p>
        </w:tc>
        <w:tc>
          <w:tcPr>
            <w:tcW w:type="dxa" w:w="16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4,320</w:t>
            </w:r>
          </w:p>
        </w:tc>
        <w:tc>
          <w:tcPr>
            <w:tcW w:type="dxa" w:w="16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117,964,800</w:t>
            </w:r>
          </w:p>
        </w:tc>
      </w:tr>
    </w:tbl>
    <w:p>
      <w:pPr>
        <w:sectPr>
          <w:pgSz w:w="16838" w:h="11906" w:orient="landscape"/>
          <w:pgMar w:top="879" w:right="822" w:bottom="822" w:left="822" w:header="369" w:footer="369" w:gutter="0"/>
          <w:cols w:space="720"/>
          <w:titlePg/>
          <w:docGrid w:linePitch="360"/>
        </w:sectPr>
      </w:pPr>
    </w:p>
    <w:p>
      <w:r>
        <w:rPr>
          <w:rFonts w:ascii="Noto Sans CJK SC" w:hAnsi="Noto Sans CJK SC" w:eastAsia="Noto Sans CJK SC"/>
          <w:sz w:val="19"/>
        </w:rPr>
        <w:t>Development panel使用固定窗口、固定mask和固定RC方向，每2,000 steps评估一次。Sealed pretraining test只在winner按development NLL确定后读取一次。Acceptance pool中的100个128K optimizer steps必须连续执行，并在第50步保存、终止进程、从新进程精确恢复；其他五个长度各10 steps。三个集合的anchor及近重复组件两两不相交。</w:t>
      </w:r>
    </w:p>
    <w:p>
      <w:pPr>
        <w:pStyle w:val="Heading2"/>
      </w:pPr>
      <w:r>
        <w:t>4.8 数据release的物理组成</w:t>
      </w:r>
    </w:p>
    <w:p>
      <w:pPr>
        <w:pStyle w:val="ListBullet"/>
      </w:pPr>
      <w:r>
        <w:rPr>
          <w:rFonts w:ascii="Liberation Mono" w:hAnsi="Liberation Mono" w:eastAsia="Liberation Mono"/>
          <w:color w:val="7A3E00"/>
          <w:sz w:val="17"/>
        </w:rPr>
        <w:t>sequence_store</w:t>
      </w:r>
      <w:r>
        <w:rPr>
          <w:rFonts w:ascii="Noto Sans CJK SC" w:hAnsi="Noto Sans CJK SC" w:eastAsia="Noto Sans CJK SC"/>
          <w:sz w:val="18"/>
        </w:rPr>
        <w:t>：uint8/mmap，A/C/G/T/N各一个ID；每条contig只存一次；IUPAC原字符放稀疏sidecar。</w:t>
      </w:r>
    </w:p>
    <w:p>
      <w:pPr>
        <w:pStyle w:val="ListBullet"/>
      </w:pPr>
      <w:r>
        <w:rPr>
          <w:rFonts w:ascii="Liberation Mono" w:hAnsi="Liberation Mono" w:eastAsia="Liberation Mono"/>
          <w:color w:val="7A3E00"/>
          <w:sz w:val="17"/>
        </w:rPr>
        <w:t>contig_index</w:t>
      </w:r>
      <w:r>
        <w:rPr>
          <w:rFonts w:ascii="Noto Sans CJK SC" w:hAnsi="Noto Sans CJK SC" w:eastAsia="Noto Sans CJK SC"/>
          <w:sz w:val="18"/>
        </w:rPr>
        <w:t>：assembly、contig、全局offset、长度、taxonomy、source和hash。</w:t>
      </w:r>
    </w:p>
    <w:p>
      <w:pPr>
        <w:pStyle w:val="ListBullet"/>
      </w:pPr>
      <w:r>
        <w:rPr>
          <w:rFonts w:ascii="Liberation Mono" w:hAnsi="Liberation Mono" w:eastAsia="Liberation Mono"/>
          <w:color w:val="7A3E00"/>
          <w:sz w:val="17"/>
        </w:rPr>
        <w:t>window_catalog</w:t>
      </w:r>
      <w:r>
        <w:rPr>
          <w:rFonts w:ascii="Noto Sans CJK SC" w:hAnsi="Noto Sans CJK SC" w:eastAsia="Noto Sans CJK SC"/>
          <w:sz w:val="18"/>
        </w:rPr>
        <w:t>：window/anchor、坐标、长度、QC、区域、split、similarity cluster和sampling priority。</w:t>
      </w:r>
    </w:p>
    <w:p>
      <w:pPr>
        <w:pStyle w:val="ListBullet"/>
      </w:pPr>
      <w:r>
        <w:rPr>
          <w:rFonts w:ascii="Liberation Mono" w:hAnsi="Liberation Mono" w:eastAsia="Liberation Mono"/>
          <w:color w:val="7A3E00"/>
          <w:sz w:val="17"/>
        </w:rPr>
        <w:t>label_store</w:t>
      </w:r>
      <w:r>
        <w:rPr>
          <w:rFonts w:ascii="Noto Sans CJK SC" w:hAnsi="Noto Sans CJK SC" w:eastAsia="Noto Sans CJK SC"/>
          <w:sz w:val="18"/>
        </w:rPr>
        <w:t>：9个region、frame、6个boundary及validity mask。</w:t>
      </w:r>
    </w:p>
    <w:p>
      <w:pPr>
        <w:pStyle w:val="ListBullet"/>
      </w:pPr>
      <w:r>
        <w:rPr>
          <w:rFonts w:ascii="Liberation Mono" w:hAnsi="Liberation Mono" w:eastAsia="Liberation Mono"/>
          <w:color w:val="7A3E00"/>
          <w:sz w:val="17"/>
        </w:rPr>
        <w:t>pair_catalog</w:t>
      </w:r>
      <w:r>
        <w:rPr>
          <w:rFonts w:ascii="Noto Sans CJK SC" w:hAnsi="Noto Sans CJK SC" w:eastAsia="Noto Sans CJK SC"/>
          <w:sz w:val="18"/>
        </w:rPr>
        <w:t>：高可信syntenic ortholog/homeolog和hard-negative排除信息。</w:t>
      </w:r>
    </w:p>
    <w:p>
      <w:pPr>
        <w:pStyle w:val="ListBullet"/>
      </w:pPr>
      <w:r>
        <w:rPr>
          <w:rFonts w:ascii="Liberation Mono" w:hAnsi="Liberation Mono" w:eastAsia="Liberation Mono"/>
          <w:color w:val="7A3E00"/>
          <w:sz w:val="17"/>
        </w:rPr>
        <w:t>task_registry</w:t>
      </w:r>
      <w:r>
        <w:rPr>
          <w:rFonts w:ascii="Noto Sans CJK SC" w:hAnsi="Noto Sans CJK SC" w:eastAsia="Noto Sans CJK SC"/>
          <w:sz w:val="18"/>
        </w:rPr>
        <w:t>与</w:t>
      </w:r>
      <w:r>
        <w:rPr>
          <w:rFonts w:ascii="Liberation Mono" w:hAnsi="Liberation Mono" w:eastAsia="Liberation Mono"/>
          <w:color w:val="7A3E00"/>
          <w:sz w:val="17"/>
        </w:rPr>
        <w:t>pretraining_exposure_matrix</w:t>
      </w:r>
      <w:r>
        <w:rPr>
          <w:rFonts w:ascii="Noto Sans CJK SC" w:hAnsi="Noto Sans CJK SC" w:eastAsia="Noto Sans CJK SC"/>
          <w:sz w:val="18"/>
        </w:rPr>
        <w:t>：下游测试身份hash及预训练暴露状态。</w:t>
      </w:r>
    </w:p>
    <w:p>
      <w:pPr>
        <w:pStyle w:val="ListBullet"/>
      </w:pPr>
      <w:r>
        <w:rPr>
          <w:rFonts w:ascii="Liberation Mono" w:hAnsi="Liberation Mono" w:eastAsia="Liberation Mono"/>
          <w:color w:val="7A3E00"/>
          <w:sz w:val="17"/>
        </w:rPr>
        <w:t>provenance</w:t>
      </w:r>
      <w:r>
        <w:rPr>
          <w:rFonts w:ascii="Noto Sans CJK SC" w:hAnsi="Noto Sans CJK SC" w:eastAsia="Noto Sans CJK SC"/>
          <w:sz w:val="18"/>
        </w:rPr>
        <w:t>与checksum manifest：文件字节数、SHA-256、工具版本和顶层root hash。</w:t>
      </w:r>
    </w:p>
    <w:p>
      <w:r>
        <w:rPr>
          <w:rFonts w:ascii="Noto Sans CJK SC" w:hAnsi="Noto Sans CJK SC" w:eastAsia="Noto Sans CJK SC"/>
          <w:sz w:val="19"/>
        </w:rPr>
        <w:t>所有数据通过自包含bundle迁移；GitHub只放轻量设计文档，不上传原始数据、shard、标签、日志或checkpoint。</w:t>
      </w:r>
    </w:p>
    <w:p>
      <w:pPr>
        <w:pStyle w:val="Heading1"/>
      </w:pPr>
      <w:r>
        <w:t>5. 模型架构</w:t>
      </w:r>
    </w:p>
    <w:p>
      <w:pPr>
        <w:pStyle w:val="Heading2"/>
      </w:pPr>
      <w:r>
        <w:t>5.1 输入和词表</w:t>
      </w:r>
    </w:p>
    <w:p>
      <w:r>
        <w:rPr>
          <w:rFonts w:ascii="Noto Sans CJK SC" w:hAnsi="Noto Sans CJK SC" w:eastAsia="Noto Sans CJK SC"/>
          <w:sz w:val="19"/>
        </w:rPr>
        <w:t>模型按单碱基输入，不使用6-mer、BPE或codon token。词表为</w:t>
      </w:r>
      <w:r>
        <w:rPr>
          <w:rFonts w:ascii="Liberation Mono" w:hAnsi="Liberation Mono" w:eastAsia="Liberation Mono"/>
          <w:color w:val="7A3E00"/>
          <w:sz w:val="18"/>
        </w:rPr>
        <w:t>PAD, A, C, G, T, N, MASK, RESERVED</w:t>
      </w:r>
      <w:r>
        <w:rPr>
          <w:rFonts w:ascii="Noto Sans CJK SC" w:hAnsi="Noto Sans CJK SC" w:eastAsia="Noto Sans CJK SC"/>
          <w:sz w:val="19"/>
        </w:rPr>
        <w:t>共8个token。底层store使用</w:t>
      </w:r>
      <w:r>
        <w:rPr>
          <w:rFonts w:ascii="Liberation Mono" w:hAnsi="Liberation Mono" w:eastAsia="Liberation Mono"/>
          <w:color w:val="7A3E00"/>
          <w:sz w:val="18"/>
        </w:rPr>
        <w:t>A=0,C=1,G=2,T=3,N=4</w:t>
      </w:r>
      <w:r>
        <w:rPr>
          <w:rFonts w:ascii="Noto Sans CJK SC" w:hAnsi="Noto Sans CJK SC" w:eastAsia="Noto Sans CJK SC"/>
          <w:sz w:val="19"/>
        </w:rPr>
        <w:t>，DataLoader必须显式</w:t>
      </w:r>
      <w:r>
        <w:rPr>
          <w:rFonts w:ascii="Liberation Mono" w:hAnsi="Liberation Mono" w:eastAsia="Liberation Mono"/>
          <w:color w:val="7A3E00"/>
          <w:sz w:val="18"/>
        </w:rPr>
        <w:t>+1</w:t>
      </w:r>
      <w:r>
        <w:rPr>
          <w:rFonts w:ascii="Noto Sans CJK SC" w:hAnsi="Noto Sans CJK SC" w:eastAsia="Noto Sans CJK SC"/>
          <w:sz w:val="19"/>
        </w:rPr>
        <w:t>；否则A会被误当PAD。N和PAD可以作为上下文，但不作为MLM有效target。</w:t>
      </w:r>
    </w:p>
    <w:p>
      <w:r>
        <w:rPr>
          <w:rFonts w:ascii="Noto Sans CJK SC" w:hAnsi="Noto Sans CJK SC" w:eastAsia="Noto Sans CJK SC"/>
          <w:sz w:val="19"/>
        </w:rPr>
        <w:t>六种长度分别是4,096、8,192、16,384、32,768、65,536和131,072 bp。训练按同长度bucket形成batch，不依赖大面积padding。模型没有固定绝对位置表，顺序由Mamba状态递推和局部卷积编码。</w:t>
      </w:r>
    </w:p>
    <w:p>
      <w:pPr>
        <w:pStyle w:val="Heading2"/>
      </w:pPr>
      <w:r>
        <w:t>5.2 47层双向tied-projection Mamba</w:t>
      </w:r>
    </w:p>
    <w:p>
      <w:r>
        <w:rPr>
          <w:rFonts w:ascii="Noto Sans CJK SC" w:hAnsi="Noto Sans CJK SC" w:eastAsia="Noto Sans CJK SC"/>
          <w:sz w:val="19"/>
        </w:rPr>
        <w:t>冻结配置：</w:t>
      </w:r>
      <w:r>
        <w:rPr>
          <w:rFonts w:ascii="Liberation Mono" w:hAnsi="Liberation Mono" w:eastAsia="Liberation Mono"/>
          <w:color w:val="7A3E00"/>
          <w:sz w:val="18"/>
        </w:rPr>
        <w:t>d_model=1024</w:t>
      </w:r>
      <w:r>
        <w:rPr>
          <w:rFonts w:ascii="Noto Sans CJK SC" w:hAnsi="Noto Sans CJK SC" w:eastAsia="Noto Sans CJK SC"/>
          <w:sz w:val="19"/>
        </w:rPr>
        <w:t>、47层、expansion=2、</w:t>
      </w:r>
      <w:r>
        <w:rPr>
          <w:rFonts w:ascii="Liberation Mono" w:hAnsi="Liberation Mono" w:eastAsia="Liberation Mono"/>
          <w:color w:val="7A3E00"/>
          <w:sz w:val="18"/>
        </w:rPr>
        <w:t>d_inner=2048</w:t>
      </w:r>
      <w:r>
        <w:rPr>
          <w:rFonts w:ascii="Noto Sans CJK SC" w:hAnsi="Noto Sans CJK SC" w:eastAsia="Noto Sans CJK SC"/>
          <w:sz w:val="19"/>
        </w:rPr>
        <w:t>、</w:t>
      </w:r>
      <w:r>
        <w:rPr>
          <w:rFonts w:ascii="Liberation Mono" w:hAnsi="Liberation Mono" w:eastAsia="Liberation Mono"/>
          <w:color w:val="7A3E00"/>
          <w:sz w:val="18"/>
        </w:rPr>
        <w:t>d_state=16</w:t>
      </w:r>
      <w:r>
        <w:rPr>
          <w:rFonts w:ascii="Noto Sans CJK SC" w:hAnsi="Noto Sans CJK SC" w:eastAsia="Noto Sans CJK SC"/>
          <w:sz w:val="19"/>
        </w:rPr>
        <w:t>、</w:t>
      </w:r>
      <w:r>
        <w:rPr>
          <w:rFonts w:ascii="Liberation Mono" w:hAnsi="Liberation Mono" w:eastAsia="Liberation Mono"/>
          <w:color w:val="7A3E00"/>
          <w:sz w:val="18"/>
        </w:rPr>
        <w:t>d_conv=4</w:t>
      </w:r>
      <w:r>
        <w:rPr>
          <w:rFonts w:ascii="Noto Sans CJK SC" w:hAnsi="Noto Sans CJK SC" w:eastAsia="Noto Sans CJK SC"/>
          <w:sz w:val="19"/>
        </w:rPr>
        <w:t>、</w:t>
      </w:r>
      <w:r>
        <w:rPr>
          <w:rFonts w:ascii="Liberation Mono" w:hAnsi="Liberation Mono" w:eastAsia="Liberation Mono"/>
          <w:color w:val="7A3E00"/>
          <w:sz w:val="18"/>
        </w:rPr>
        <w:t>dt_rank=64</w:t>
      </w:r>
      <w:r>
        <w:rPr>
          <w:rFonts w:ascii="Noto Sans CJK SC" w:hAnsi="Noto Sans CJK SC" w:eastAsia="Noto Sans CJK SC"/>
          <w:sz w:val="19"/>
        </w:rPr>
        <w:t xml:space="preserve">、RMSNorm </w:t>
      </w:r>
      <w:r>
        <w:rPr>
          <w:rFonts w:ascii="Liberation Mono" w:hAnsi="Liberation Mono" w:eastAsia="Liberation Mono"/>
          <w:color w:val="7A3E00"/>
          <w:sz w:val="18"/>
        </w:rPr>
        <w:t>eps=1e-5</w:t>
      </w:r>
      <w:r>
        <w:rPr>
          <w:rFonts w:ascii="Noto Sans CJK SC" w:hAnsi="Noto Sans CJK SC" w:eastAsia="Noto Sans CJK SC"/>
          <w:sz w:val="19"/>
        </w:rPr>
        <w:t>、dropout=0、FP32 residual accumulation。</w:t>
      </w:r>
    </w:p>
    <w:p>
      <w:r>
        <w:rPr>
          <w:rFonts w:ascii="Noto Sans CJK SC" w:hAnsi="Noto Sans CJK SC" w:eastAsia="Noto Sans CJK SC"/>
          <w:sz w:val="19"/>
        </w:rPr>
        <w:t>每层用同一输入分别做前向和反向Mamba。反向分支读倒序序列，输出再倒回原坐标，然后与前向结果逐元素相加。两个方向共享参数主体</w:t>
      </w:r>
      <w:r>
        <w:rPr>
          <w:rFonts w:ascii="Liberation Mono" w:hAnsi="Liberation Mono" w:eastAsia="Liberation Mono"/>
          <w:color w:val="7A3E00"/>
          <w:sz w:val="18"/>
        </w:rPr>
        <w:t>in_proj/out_proj</w:t>
      </w:r>
      <w:r>
        <w:rPr>
          <w:rFonts w:ascii="Noto Sans CJK SC" w:hAnsi="Noto Sans CJK SC" w:eastAsia="Noto Sans CJK SC"/>
          <w:sz w:val="19"/>
        </w:rPr>
        <w:t>，但SSM、depthwise convolution和时间参数独立。这样比两个完全独立骨干节省参数，同时保留不同方向动力学。</w:t>
      </w:r>
    </w:p>
    <w:p>
      <w:r>
        <w:rPr>
          <w:rFonts w:ascii="Noto Sans CJK SC" w:hAnsi="Noto Sans CJK SC" w:eastAsia="Noto Sans CJK SC"/>
          <w:sz w:val="19"/>
        </w:rPr>
        <w:t>它不是Transformer：128K全注意力的</w:t>
      </w:r>
      <w:r>
        <w:rPr>
          <w:rFonts w:ascii="Liberation Mono" w:hAnsi="Liberation Mono" w:eastAsia="Liberation Mono"/>
          <w:color w:val="7A3E00"/>
          <w:sz w:val="18"/>
        </w:rPr>
        <w:t>L×L</w:t>
      </w:r>
      <w:r>
        <w:rPr>
          <w:rFonts w:ascii="Noto Sans CJK SC" w:hAnsi="Noto Sans CJK SC" w:eastAsia="Noto Sans CJK SC"/>
          <w:sz w:val="19"/>
        </w:rPr>
        <w:t>矩阵在3×40GB A100上不现实；Mamba selective scan对长度线性扩展。模型也不把现有Caduceus方程包装成“全新神经网络”，创新重点在十字花科全基因组语料、结构与homeolog联合目标、128K系统和专属证据体系。</w:t>
      </w:r>
    </w:p>
    <w:p>
      <w:pPr>
        <w:pStyle w:val="Heading2"/>
      </w:pPr>
      <w:r>
        <w:t>5.3 参数量</w:t>
      </w:r>
    </w:p>
    <w:p>
      <w:r>
        <w:rPr>
          <w:rFonts w:ascii="Noto Sans CJK SC" w:hAnsi="Noto Sans CJK SC" w:eastAsia="Noto Sans CJK SC"/>
          <w:sz w:val="19"/>
        </w:rPr>
        <w:t>单层合同为：</w:t>
      </w:r>
    </w:p>
    <w:p>
      <w:r>
        <w:rPr>
          <w:rFonts w:ascii="Liberation Mono" w:hAnsi="Liberation Mono" w:eastAsia="Liberation Mono"/>
          <w:color w:val="7A3E00"/>
          <w:sz w:val="18"/>
        </w:rPr>
        <w:t>P_layer = 6d² + 8dr + 12dn + 4dk + 13d</w:t>
      </w:r>
    </w:p>
    <w:p>
      <w:r>
        <w:rPr>
          <w:rFonts w:ascii="Noto Sans CJK SC" w:hAnsi="Noto Sans CJK SC" w:eastAsia="Noto Sans CJK SC"/>
          <w:sz w:val="19"/>
        </w:rPr>
        <w:t>代入</w:t>
      </w:r>
      <w:r>
        <w:rPr>
          <w:rFonts w:ascii="Liberation Mono" w:hAnsi="Liberation Mono" w:eastAsia="Liberation Mono"/>
          <w:color w:val="7A3E00"/>
          <w:sz w:val="18"/>
        </w:rPr>
        <w:t>d=1024,r=64,n=16,k=4</w:t>
      </w:r>
      <w:r>
        <w:rPr>
          <w:rFonts w:ascii="Noto Sans CJK SC" w:hAnsi="Noto Sans CJK SC" w:eastAsia="Noto Sans CJK SC"/>
          <w:sz w:val="19"/>
        </w:rPr>
        <w:t>，每层7,042,048参数。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模块</w:t>
            </w:r>
          </w:p>
        </w:tc>
        <w:tc>
          <w:tcPr>
            <w:tcW w:type="dxa" w:w="33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参数量</w:t>
            </w:r>
          </w:p>
        </w:tc>
        <w:tc>
          <w:tcPr>
            <w:tcW w:type="dxa" w:w="33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占完整训练图约比</w:t>
            </w:r>
          </w:p>
        </w:tc>
      </w:tr>
      <w:tr>
        <w:trPr>
          <w:cantSplit/>
        </w:trPr>
        <w:tc>
          <w:tcPr>
            <w:tcW w:type="dxa" w:w="33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47层Mamba blocks</w:t>
            </w:r>
          </w:p>
        </w:tc>
        <w:tc>
          <w:tcPr>
            <w:tcW w:type="dxa" w:w="33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330,976,256</w:t>
            </w:r>
          </w:p>
        </w:tc>
        <w:tc>
          <w:tcPr>
            <w:tcW w:type="dxa" w:w="33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99.7935%</w:t>
            </w:r>
          </w:p>
        </w:tc>
      </w:tr>
      <w:tr>
        <w:trPr>
          <w:cantSplit/>
        </w:trPr>
        <w:tc>
          <w:tcPr>
            <w:tcW w:type="dxa" w:w="33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8-token embedding</w:t>
            </w:r>
          </w:p>
        </w:tc>
        <w:tc>
          <w:tcPr>
            <w:tcW w:type="dxa" w:w="33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8,192</w:t>
            </w:r>
          </w:p>
        </w:tc>
        <w:tc>
          <w:tcPr>
            <w:tcW w:type="dxa" w:w="33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0.0025%</w:t>
            </w:r>
          </w:p>
        </w:tc>
      </w:tr>
      <w:tr>
        <w:trPr>
          <w:cantSplit/>
        </w:trPr>
        <w:tc>
          <w:tcPr>
            <w:tcW w:type="dxa" w:w="33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final RMSNorm</w:t>
            </w:r>
          </w:p>
        </w:tc>
        <w:tc>
          <w:tcPr>
            <w:tcW w:type="dxa" w:w="33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1,024</w:t>
            </w:r>
          </w:p>
        </w:tc>
        <w:tc>
          <w:tcPr>
            <w:tcW w:type="dxa" w:w="33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0.0003%</w:t>
            </w:r>
          </w:p>
        </w:tc>
      </w:tr>
      <w:tr>
        <w:trPr>
          <w:cantSplit/>
        </w:trPr>
        <w:tc>
          <w:tcPr>
            <w:tcW w:type="dxa" w:w="33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color w:val="17365D"/>
                <w:sz w:val="16"/>
              </w:rPr>
              <w:t>骨干合计</w:t>
            </w:r>
          </w:p>
        </w:tc>
        <w:tc>
          <w:tcPr>
            <w:tcW w:type="dxa" w:w="33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color w:val="17365D"/>
                <w:sz w:val="16"/>
              </w:rPr>
              <w:t>330,985,472</w:t>
            </w:r>
          </w:p>
        </w:tc>
        <w:tc>
          <w:tcPr>
            <w:tcW w:type="dxa" w:w="33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color w:val="17365D"/>
                <w:sz w:val="16"/>
              </w:rPr>
              <w:t>99.7963%</w:t>
            </w:r>
          </w:p>
        </w:tc>
      </w:tr>
      <w:tr>
        <w:trPr>
          <w:cantSplit/>
        </w:trPr>
        <w:tc>
          <w:tcPr>
            <w:tcW w:type="dxa" w:w="33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tied MLM bias</w:t>
            </w:r>
          </w:p>
        </w:tc>
        <w:tc>
          <w:tcPr>
            <w:tcW w:type="dxa" w:w="33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8</w:t>
            </w:r>
          </w:p>
        </w:tc>
        <w:tc>
          <w:tcPr>
            <w:tcW w:type="dxa" w:w="33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&lt;0.0001%</w:t>
            </w:r>
          </w:p>
        </w:tc>
      </w:tr>
      <w:tr>
        <w:trPr>
          <w:cantSplit/>
        </w:trPr>
        <w:tc>
          <w:tcPr>
            <w:tcW w:type="dxa" w:w="33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9通道region head</w:t>
            </w:r>
          </w:p>
        </w:tc>
        <w:tc>
          <w:tcPr>
            <w:tcW w:type="dxa" w:w="33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9,225</w:t>
            </w:r>
          </w:p>
        </w:tc>
        <w:tc>
          <w:tcPr>
            <w:tcW w:type="dxa" w:w="33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0.0028%</w:t>
            </w:r>
          </w:p>
        </w:tc>
      </w:tr>
      <w:tr>
        <w:trPr>
          <w:cantSplit/>
        </w:trPr>
        <w:tc>
          <w:tcPr>
            <w:tcW w:type="dxa" w:w="33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4类frame head</w:t>
            </w:r>
          </w:p>
        </w:tc>
        <w:tc>
          <w:tcPr>
            <w:tcW w:type="dxa" w:w="33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4,100</w:t>
            </w:r>
          </w:p>
        </w:tc>
        <w:tc>
          <w:tcPr>
            <w:tcW w:type="dxa" w:w="33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0.0012%</w:t>
            </w:r>
          </w:p>
        </w:tc>
      </w:tr>
      <w:tr>
        <w:trPr>
          <w:cantSplit/>
        </w:trPr>
        <w:tc>
          <w:tcPr>
            <w:tcW w:type="dxa" w:w="33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6类boundary head</w:t>
            </w:r>
          </w:p>
        </w:tc>
        <w:tc>
          <w:tcPr>
            <w:tcW w:type="dxa" w:w="33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6,150</w:t>
            </w:r>
          </w:p>
        </w:tc>
        <w:tc>
          <w:tcPr>
            <w:tcW w:type="dxa" w:w="33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0.0019%</w:t>
            </w:r>
          </w:p>
        </w:tc>
      </w:tr>
      <w:tr>
        <w:trPr>
          <w:cantSplit/>
        </w:trPr>
        <w:tc>
          <w:tcPr>
            <w:tcW w:type="dxa" w:w="33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1024→512→256 contrastive head</w:t>
            </w:r>
          </w:p>
        </w:tc>
        <w:tc>
          <w:tcPr>
            <w:tcW w:type="dxa" w:w="33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656,128</w:t>
            </w:r>
          </w:p>
        </w:tc>
        <w:tc>
          <w:tcPr>
            <w:tcW w:type="dxa" w:w="33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0.1978%</w:t>
            </w:r>
          </w:p>
        </w:tc>
      </w:tr>
      <w:tr>
        <w:trPr>
          <w:cantSplit/>
        </w:trPr>
        <w:tc>
          <w:tcPr>
            <w:tcW w:type="dxa" w:w="33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color w:val="17365D"/>
                <w:sz w:val="16"/>
              </w:rPr>
              <w:t>预训练heads合计</w:t>
            </w:r>
          </w:p>
        </w:tc>
        <w:tc>
          <w:tcPr>
            <w:tcW w:type="dxa" w:w="33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color w:val="17365D"/>
                <w:sz w:val="16"/>
              </w:rPr>
              <w:t>675,611</w:t>
            </w:r>
          </w:p>
        </w:tc>
        <w:tc>
          <w:tcPr>
            <w:tcW w:type="dxa" w:w="33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color w:val="17365D"/>
                <w:sz w:val="16"/>
              </w:rPr>
              <w:t>0.2037%</w:t>
            </w:r>
          </w:p>
        </w:tc>
      </w:tr>
      <w:tr>
        <w:trPr>
          <w:cantSplit/>
        </w:trPr>
        <w:tc>
          <w:tcPr>
            <w:tcW w:type="dxa" w:w="33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color w:val="17365D"/>
                <w:sz w:val="16"/>
              </w:rPr>
              <w:t>完整预训练计算图</w:t>
            </w:r>
          </w:p>
        </w:tc>
        <w:tc>
          <w:tcPr>
            <w:tcW w:type="dxa" w:w="33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color w:val="17365D"/>
                <w:sz w:val="16"/>
              </w:rPr>
              <w:t>331,661,083</w:t>
            </w:r>
          </w:p>
        </w:tc>
        <w:tc>
          <w:tcPr>
            <w:tcW w:type="dxa" w:w="33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color w:val="17365D"/>
                <w:sz w:val="16"/>
              </w:rPr>
              <w:t>100%</w:t>
            </w:r>
          </w:p>
        </w:tc>
      </w:tr>
    </w:tbl>
    <w:p>
      <w:r>
        <w:rPr>
          <w:rFonts w:ascii="Noto Sans CJK SC" w:hAnsi="Noto Sans CJK SC" w:eastAsia="Noto Sans CJK SC"/>
          <w:sz w:val="19"/>
        </w:rPr>
        <w:t>“330M”是骨干级命名。正式实现加载后必须逐tensor重算并与331,661,083一致；若库实现引入偏差，训练前更新参数合同，不能训练后再解释。</w:t>
      </w:r>
    </w:p>
    <w:p>
      <w:pPr>
        <w:pStyle w:val="Heading2"/>
      </w:pPr>
      <w:r>
        <w:t>5.4 RC策略</w:t>
      </w:r>
    </w:p>
    <w:p>
      <w:r>
        <w:rPr>
          <w:rFonts w:ascii="Noto Sans CJK SC" w:hAnsi="Noto Sans CJK SC" w:eastAsia="Noto Sans CJK SC"/>
          <w:sz w:val="19"/>
        </w:rPr>
        <w:t>模型不采用显存更高的RCPS双通道激活，而采用：每个anchor以0.5概率输入正向或反向互补；5%的anchor同时计算两个方向并用逐位置cosine一致性；下游将</w:t>
      </w:r>
      <w:r>
        <w:rPr>
          <w:rFonts w:ascii="Liberation Mono" w:hAnsi="Liberation Mono" w:eastAsia="Liberation Mono"/>
          <w:color w:val="7A3E00"/>
          <w:sz w:val="18"/>
        </w:rPr>
        <w:t>x</w:t>
      </w:r>
      <w:r>
        <w:rPr>
          <w:rFonts w:ascii="Noto Sans CJK SC" w:hAnsi="Noto Sans CJK SC" w:eastAsia="Noto Sans CJK SC"/>
          <w:sz w:val="19"/>
        </w:rPr>
        <w:t>和</w:t>
      </w:r>
      <w:r>
        <w:rPr>
          <w:rFonts w:ascii="Liberation Mono" w:hAnsi="Liberation Mono" w:eastAsia="Liberation Mono"/>
          <w:color w:val="7A3E00"/>
          <w:sz w:val="18"/>
        </w:rPr>
        <w:t>RC(x)</w:t>
      </w:r>
      <w:r>
        <w:rPr>
          <w:rFonts w:ascii="Noto Sans CJK SC" w:hAnsi="Noto Sans CJK SC" w:eastAsia="Noto Sans CJK SC"/>
          <w:sz w:val="19"/>
        </w:rPr>
        <w:t>预测坐标/标签重映射后平均。它可以称RC-consistent/RC-conjoined，不能称结构上严格RC等变。</w:t>
      </w:r>
    </w:p>
    <w:p>
      <w:pPr>
        <w:pStyle w:val="Heading2"/>
      </w:pPr>
      <w:r>
        <w:t>5.5 五类输出接口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MLM logits：逐碱基8类；权重与embedding共享。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Region：gene、exon、intron、CDS、5'UTR、3'UTR、ncRNA、TE、实验支持promoter九个可重叠通道。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Frame：frame0/1/2/non-CDS；冲突isoform位置ignore。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Boundary：splice donor/acceptor、start/stop、TSS/TTS六个稀疏通道。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Homeolog embedding：基因体及上下游mask-aware pooling后投影为256维L2归一化向量。</w:t>
      </w:r>
    </w:p>
    <w:p>
      <w:r>
        <w:rPr>
          <w:rFonts w:ascii="Noto Sans CJK SC" w:hAnsi="Noto Sans CJK SC" w:eastAsia="Noto Sans CJK SC"/>
          <w:sz w:val="19"/>
        </w:rPr>
        <w:t>下游可读取逐碱基hidden、全窗口masked mean、多尺度分块pool和gene-anchor三段pool。公共模型同时评估官方pooling和统一mean pooling，不能故意给对手选择较差读取方式。</w:t>
      </w:r>
    </w:p>
    <w:p>
      <w:pPr>
        <w:pStyle w:val="Heading1"/>
      </w:pPr>
      <w:r>
        <w:t>6. 六个预训练目标</w:t>
      </w:r>
    </w:p>
    <w:p>
      <w:r>
        <w:rPr>
          <w:rFonts w:ascii="Noto Sans CJK SC" w:hAnsi="Noto Sans CJK SC" w:eastAsia="Noto Sans CJK SC"/>
          <w:sz w:val="19"/>
        </w:rPr>
        <w:t>总损失固定为：</w:t>
      </w:r>
    </w:p>
    <w:p>
      <w:r>
        <w:rPr>
          <w:rFonts w:ascii="Liberation Mono" w:hAnsi="Liberation Mono" w:eastAsia="Liberation Mono"/>
          <w:color w:val="7A3E00"/>
          <w:sz w:val="18"/>
        </w:rPr>
        <w:t>L = L_MLM + 0.25 L_region + 0.10 L_frame + 0.10 L_boundary + 0.05 L_RC + 0.05 L_homeolog</w:t>
      </w:r>
    </w:p>
    <w:p>
      <w:pPr>
        <w:pStyle w:val="Heading2"/>
      </w:pPr>
      <w:r>
        <w:t>6.1 MLM：基本序列语法</w:t>
      </w:r>
    </w:p>
    <w:p>
      <w:r>
        <w:rPr>
          <w:rFonts w:ascii="Noto Sans CJK SC" w:hAnsi="Noto Sans CJK SC" w:eastAsia="Noto Sans CJK SC"/>
          <w:sz w:val="19"/>
        </w:rPr>
        <w:t>从ACGT中选15%目标。80%替换MASK，10%替换随机ACGT，10%保持。目标预算一半是单点，一半为长度1–10、</w:t>
      </w:r>
      <w:r>
        <w:rPr>
          <w:rFonts w:ascii="Liberation Mono" w:hAnsi="Liberation Mono" w:eastAsia="Liberation Mono"/>
          <w:color w:val="7A3E00"/>
          <w:sz w:val="18"/>
        </w:rPr>
        <w:t>p=0.35</w:t>
      </w:r>
      <w:r>
        <w:rPr>
          <w:rFonts w:ascii="Noto Sans CJK SC" w:hAnsi="Noto Sans CJK SC" w:eastAsia="Noto Sans CJK SC"/>
          <w:sz w:val="19"/>
        </w:rPr>
        <w:t>的截断几何span；span不跨N/PAD/contig边界。作用是同时学习motif、局部语法和长程条件依赖。</w:t>
      </w:r>
    </w:p>
    <w:p>
      <w:pPr>
        <w:pStyle w:val="Heading2"/>
      </w:pPr>
      <w:r>
        <w:t>6.2 Region：可重叠植物结构</w:t>
      </w:r>
    </w:p>
    <w:p>
      <w:r>
        <w:rPr>
          <w:rFonts w:ascii="Noto Sans CJK SC" w:hAnsi="Noto Sans CJK SC" w:eastAsia="Noto Sans CJK SC"/>
          <w:sz w:val="19"/>
        </w:rPr>
        <w:t>九通道</w:t>
      </w:r>
      <w:r>
        <w:rPr>
          <w:rFonts w:ascii="Liberation Mono" w:hAnsi="Liberation Mono" w:eastAsia="Liberation Mono"/>
          <w:color w:val="7A3E00"/>
          <w:sz w:val="18"/>
        </w:rPr>
        <w:t>BCEWithLogits</w:t>
      </w:r>
      <w:r>
        <w:rPr>
          <w:rFonts w:ascii="Noto Sans CJK SC" w:hAnsi="Noto Sans CJK SC" w:eastAsia="Noto Sans CJK SC"/>
          <w:sz w:val="19"/>
        </w:rPr>
        <w:t>只在标签有效位置计算。类别权重从train估计，inverse-sqrt-frequency并clip到1–20。region不是互斥softmax，因为exon可以同时属于gene/CDS/UTR层级，TE也可能插入基因区域。</w:t>
      </w:r>
    </w:p>
    <w:p>
      <w:pPr>
        <w:pStyle w:val="Heading2"/>
      </w:pPr>
      <w:r>
        <w:t>6.3 Frame：编码相位</w:t>
      </w:r>
    </w:p>
    <w:p>
      <w:r>
        <w:rPr>
          <w:rFonts w:ascii="Noto Sans CJK SC" w:hAnsi="Noto Sans CJK SC" w:eastAsia="Noto Sans CJK SC"/>
          <w:sz w:val="19"/>
        </w:rPr>
        <w:t>高可信CDS中做四类cross-entropy；strand、phase或isoform冲突位置ignore。该任务迫使模型学习三碱基周期与转录方向，但不会把低质量GFF的错误相位当真值。</w:t>
      </w:r>
    </w:p>
    <w:p>
      <w:pPr>
        <w:pStyle w:val="Heading2"/>
      </w:pPr>
      <w:r>
        <w:t>6.4 Boundary：稀疏边界</w:t>
      </w:r>
    </w:p>
    <w:p>
      <w:r>
        <w:rPr>
          <w:rFonts w:ascii="Noto Sans CJK SC" w:hAnsi="Noto Sans CJK SC" w:eastAsia="Noto Sans CJK SC"/>
          <w:sz w:val="19"/>
        </w:rPr>
        <w:t xml:space="preserve">六个独立sigmoid通道，使用focal loss </w:t>
      </w:r>
      <w:r>
        <w:rPr>
          <w:rFonts w:ascii="Liberation Mono" w:hAnsi="Liberation Mono" w:eastAsia="Liberation Mono"/>
          <w:color w:val="7A3E00"/>
          <w:sz w:val="18"/>
        </w:rPr>
        <w:t>gamma=2</w:t>
      </w:r>
      <w:r>
        <w:rPr>
          <w:rFonts w:ascii="Noto Sans CJK SC" w:hAnsi="Noto Sans CJK SC" w:eastAsia="Noto Sans CJK SC"/>
          <w:sz w:val="19"/>
        </w:rPr>
        <w:t>；alpha由train prevalence产生并限制在0.05–0.95。负例必须来自同染色体、相同GC和相同区域背景。缺少实验TSS/TTS的“上游2 kb”只能是proxy，不算直接标签。</w:t>
      </w:r>
    </w:p>
    <w:p>
      <w:pPr>
        <w:pStyle w:val="Heading2"/>
      </w:pPr>
      <w:r>
        <w:t>6.5 RC一致性：方向稳定</w:t>
      </w:r>
    </w:p>
    <w:p>
      <w:r>
        <w:rPr>
          <w:rFonts w:ascii="Noto Sans CJK SC" w:hAnsi="Noto Sans CJK SC" w:eastAsia="Noto Sans CJK SC"/>
          <w:sz w:val="19"/>
        </w:rPr>
        <w:t>对5%的anchor同时计算正向/RC，逐有效位置对齐、L2归一化后优化</w:t>
      </w:r>
      <w:r>
        <w:rPr>
          <w:rFonts w:ascii="Liberation Mono" w:hAnsi="Liberation Mono" w:eastAsia="Liberation Mono"/>
          <w:color w:val="7A3E00"/>
          <w:sz w:val="18"/>
        </w:rPr>
        <w:t>1-cosine_similarity</w:t>
      </w:r>
      <w:r>
        <w:rPr>
          <w:rFonts w:ascii="Noto Sans CJK SC" w:hAnsi="Noto Sans CJK SC" w:eastAsia="Noto Sans CJK SC"/>
          <w:sz w:val="19"/>
        </w:rPr>
        <w:t>。PAD、N和ignore不进入分母。RC额外forward必须计入吞吐和ETA。</w:t>
      </w:r>
    </w:p>
    <w:p>
      <w:pPr>
        <w:pStyle w:val="Heading2"/>
      </w:pPr>
      <w:r>
        <w:t>6.6 Homeolog/ortholog：十字花科关系监督</w:t>
      </w:r>
    </w:p>
    <w:p>
      <w:r>
        <w:rPr>
          <w:rFonts w:ascii="Noto Sans CJK SC" w:hAnsi="Noto Sans CJK SC" w:eastAsia="Noto Sans CJK SC"/>
          <w:sz w:val="19"/>
        </w:rPr>
        <w:t>高可信共线窗口做256维对称InfoNCE，temperature固定0.07。positive来自二倍体祖先—多倍体homeolog、A/B/C亚基因组homeolog和近缘ortholog。负例排除同orthogroup、近重复簇和关系不确定序列；同家族非共线拷贝才可作hard negative。</w:t>
      </w:r>
    </w:p>
    <w:p>
      <w:r>
        <w:rPr>
          <w:rFonts w:ascii="Noto Sans CJK SC" w:hAnsi="Noto Sans CJK SC" w:eastAsia="Noto Sans CJK SC"/>
          <w:sz w:val="19"/>
        </w:rPr>
        <w:t>进入每个coverage cycle前对train pair graph做edge-disjoint matching：一个anchor在当前cycle最多参加一个positive pair；pair两端使用相同context并同时预留。这样不会在同一cycle为了对比学习反复消费热门基因；跨cycle再次暴露必须进入统一cycle和token记账。</w:t>
      </w:r>
    </w:p>
    <w:p>
      <w:pPr>
        <w:pStyle w:val="Heading2"/>
      </w:pPr>
      <w:r>
        <w:t>6.7 目标支配门禁</w:t>
      </w:r>
    </w:p>
    <w:p>
      <w:r>
        <w:rPr>
          <w:rFonts w:ascii="Noto Sans CJK SC" w:hAnsi="Noto Sans CJK SC" w:eastAsia="Noto Sans CJK SC"/>
          <w:sz w:val="19"/>
        </w:rPr>
        <w:t>正式run中loss权重不动态调整。Acceptance的train-only标签用于测六个加权目标对共享骨干的梯度norm。若辅助目标连续10步超过MLM梯度norm的50%且触发裁剪，则阻断；修订合同并新建run identity后重跑，禁止依据development/test调权重。</w:t>
      </w:r>
    </w:p>
    <w:p>
      <w:pPr>
        <w:pStyle w:val="Heading1"/>
      </w:pPr>
      <w:r>
        <w:t>7. 正式训练设计</w:t>
      </w:r>
    </w:p>
    <w:p>
      <w:pPr>
        <w:pStyle w:val="Heading2"/>
      </w:pPr>
      <w:r>
        <w:t>7.1 三卡batch</w:t>
      </w:r>
    </w:p>
    <w:p>
      <w:r>
        <w:rPr>
          <w:rFonts w:ascii="Noto Sans CJK SC" w:hAnsi="Noto Sans CJK SC" w:eastAsia="Noto Sans CJK SC"/>
          <w:sz w:val="19"/>
        </w:rPr>
        <w:t>3进程DDP，每GPU每micro-step固定131,072个primary sampling tokens：4K×32、8K×16、16K×8、32K×4、64K×2、128K×1。三卡合计393,216 tokens，gradient accumulation=2后每optimizer step固定调度786,432个</w:t>
      </w:r>
      <w:r>
        <w:rPr>
          <w:rFonts w:ascii="Liberation Mono" w:hAnsi="Liberation Mono" w:eastAsia="Liberation Mono"/>
          <w:color w:val="7A3E00"/>
          <w:sz w:val="18"/>
        </w:rPr>
        <w:t>scheduled_sampling_tokens</w:t>
      </w:r>
      <w:r>
        <w:rPr>
          <w:rFonts w:ascii="Noto Sans CJK SC" w:hAnsi="Noto Sans CJK SC" w:eastAsia="Noto Sans CJK SC"/>
          <w:sz w:val="19"/>
        </w:rPr>
        <w:t>。首个coverage cycle内它们也是首次anchor暴露；后续cycle不再称为unique。六个目标按跨micro-batch、跨rank的全局有效分母归一化，不能把一个4K窗口和一个128K窗口等权。</w:t>
      </w:r>
    </w:p>
    <w:p>
      <w:pPr>
        <w:pStyle w:val="Heading2"/>
      </w:pPr>
      <w:r>
        <w:t>7.2 coverage cycle、受控复用和数据平衡</w:t>
      </w:r>
    </w:p>
    <w:p>
      <w:r>
        <w:rPr>
          <w:rFonts w:ascii="Noto Sans CJK SC" w:hAnsi="Noto Sans CJK SC" w:eastAsia="Noto Sans CJK SC"/>
          <w:sz w:val="19"/>
        </w:rPr>
        <w:t>正式run不设置累计token或step上限。每个anchor冻结唯一context和主采样channel；在每个</w:t>
      </w:r>
      <w:r>
        <w:rPr>
          <w:rFonts w:ascii="Liberation Mono" w:hAnsi="Liberation Mono" w:eastAsia="Liberation Mono"/>
          <w:color w:val="7A3E00"/>
          <w:sz w:val="18"/>
        </w:rPr>
        <w:t>context×region×genus×assembly/source</w:t>
      </w:r>
      <w:r>
        <w:rPr>
          <w:rFonts w:ascii="Noto Sans CJK SC" w:hAnsi="Noto Sans CJK SC" w:eastAsia="Noto Sans CJK SC"/>
          <w:sz w:val="19"/>
        </w:rPr>
        <w:t xml:space="preserve"> pool的coverage cycle内部严格无放回，首轮优先从未使用anchor。pool耗尽后才能进入下一cycle，同一context内任何pool最多领先其他强制pool一个cycle；小属或稀有功能pool不能通过无限重启少数locus维持名义配额。</w:t>
      </w:r>
    </w:p>
    <w:p>
      <w:r>
        <w:rPr>
          <w:rFonts w:ascii="Noto Sans CJK SC" w:hAnsi="Noto Sans CJK SC" w:eastAsia="Noto Sans CJK SC"/>
          <w:sz w:val="19"/>
        </w:rPr>
        <w:t>跨cycle允许受控复用，但新的动态MLM mask、RC方向或冻结范围内jitter不把来源坐标重新记成unique。训练同时记录：首次anchor暴露的</w:t>
      </w:r>
      <w:r>
        <w:rPr>
          <w:rFonts w:ascii="Liberation Mono" w:hAnsi="Liberation Mono" w:eastAsia="Liberation Mono"/>
          <w:color w:val="7A3E00"/>
          <w:sz w:val="18"/>
        </w:rPr>
        <w:t>unique_corpus_tokens_covered</w:t>
      </w:r>
      <w:r>
        <w:rPr>
          <w:rFonts w:ascii="Noto Sans CJK SC" w:hAnsi="Noto Sans CJK SC" w:eastAsia="Noto Sans CJK SC"/>
          <w:sz w:val="19"/>
        </w:rPr>
        <w:t>、每步固定增加的</w:t>
      </w:r>
      <w:r>
        <w:rPr>
          <w:rFonts w:ascii="Liberation Mono" w:hAnsi="Liberation Mono" w:eastAsia="Liberation Mono"/>
          <w:color w:val="7A3E00"/>
          <w:sz w:val="18"/>
        </w:rPr>
        <w:t>scheduled_sampling_tokens</w:t>
      </w:r>
      <w:r>
        <w:rPr>
          <w:rFonts w:ascii="Noto Sans CJK SC" w:hAnsi="Noto Sans CJK SC" w:eastAsia="Noto Sans CJK SC"/>
          <w:sz w:val="19"/>
        </w:rPr>
        <w:t>、包含RC额外视图的</w:t>
      </w:r>
      <w:r>
        <w:rPr>
          <w:rFonts w:ascii="Liberation Mono" w:hAnsi="Liberation Mono" w:eastAsia="Liberation Mono"/>
          <w:color w:val="7A3E00"/>
          <w:sz w:val="18"/>
        </w:rPr>
        <w:t>processed_forward_tokens</w:t>
      </w:r>
      <w:r>
        <w:rPr>
          <w:rFonts w:ascii="Noto Sans CJK SC" w:hAnsi="Noto Sans CJK SC" w:eastAsia="Noto Sans CJK SC"/>
          <w:sz w:val="19"/>
        </w:rPr>
        <w:t>以及六个目标各自的</w:t>
      </w:r>
      <w:r>
        <w:rPr>
          <w:rFonts w:ascii="Liberation Mono" w:hAnsi="Liberation Mono" w:eastAsia="Liberation Mono"/>
          <w:color w:val="7A3E00"/>
          <w:sz w:val="18"/>
        </w:rPr>
        <w:t>valid_objective_targets</w:t>
      </w:r>
      <w:r>
        <w:rPr>
          <w:rFonts w:ascii="Noto Sans CJK SC" w:hAnsi="Noto Sans CJK SC" w:eastAsia="Noto Sans CJK SC"/>
          <w:sz w:val="19"/>
        </w:rPr>
        <w:t>。另报告exposure-equivalent、cycle restart、exact-repeat和每个taxon/region/source的实际暴露；不把动态训练称为完成了若干严格epoch。</w:t>
      </w:r>
    </w:p>
    <w:p>
      <w:r>
        <w:rPr>
          <w:rFonts w:ascii="Noto Sans CJK SC" w:hAnsi="Noto Sans CJK SC" w:eastAsia="Noto Sans CJK SC"/>
          <w:sz w:val="19"/>
        </w:rPr>
        <w:t>长期token比例为4K/8K/16K/32K/64K/128K=</w:t>
      </w:r>
      <w:r>
        <w:rPr>
          <w:rFonts w:ascii="Liberation Mono" w:hAnsi="Liberation Mono" w:eastAsia="Liberation Mono"/>
          <w:color w:val="7A3E00"/>
          <w:sz w:val="18"/>
        </w:rPr>
        <w:t>9.5/19/19.5/25/21/6%</w:t>
      </w:r>
      <w:r>
        <w:rPr>
          <w:rFonts w:ascii="Noto Sans CJK SC" w:hAnsi="Noto Sans CJK SC" w:eastAsia="Noto Sans CJK SC"/>
          <w:sz w:val="19"/>
        </w:rPr>
        <w:t>。以</w:t>
      </w:r>
      <w:r>
        <w:rPr>
          <w:rFonts w:ascii="Liberation Mono" w:hAnsi="Liberation Mono" w:eastAsia="Liberation Mono"/>
          <w:color w:val="7A3E00"/>
          <w:sz w:val="18"/>
        </w:rPr>
        <w:t>context, region, genus, similarity_cluster, assembly, annotation_status</w:t>
      </w:r>
      <w:r>
        <w:rPr>
          <w:rFonts w:ascii="Noto Sans CJK SC" w:hAnsi="Noto Sans CJK SC" w:eastAsia="Noto Sans CJK SC"/>
          <w:sz w:val="19"/>
        </w:rPr>
        <w:t>做累计token缺口调度；Brassica不超过55%，Arabidopsis约10%–15%，其他小属合计至少20%，单assembly原则上不超过3%，单近重复簇不超过1.5%。容量不足时记录deficit并按冻结优先级再分配，不根据development/test改比例。</w:t>
      </w:r>
    </w:p>
    <w:p>
      <w:pPr>
        <w:pStyle w:val="Heading2"/>
      </w:pPr>
      <w:r>
        <w:t>7.3 优化器与WSD学习率</w:t>
      </w:r>
    </w:p>
    <w:p>
      <w:r>
        <w:rPr>
          <w:rFonts w:ascii="Noto Sans CJK SC" w:hAnsi="Noto Sans CJK SC" w:eastAsia="Noto Sans CJK SC"/>
          <w:sz w:val="19"/>
        </w:rPr>
        <w:t xml:space="preserve">bf16参数/激活、FP32 residual、AdamW </w:t>
      </w:r>
      <w:r>
        <w:rPr>
          <w:rFonts w:ascii="Liberation Mono" w:hAnsi="Liberation Mono" w:eastAsia="Liberation Mono"/>
          <w:color w:val="7A3E00"/>
          <w:sz w:val="18"/>
        </w:rPr>
        <w:t>betas=(0.9,0.95)</w:t>
      </w:r>
      <w:r>
        <w:rPr>
          <w:rFonts w:ascii="Noto Sans CJK SC" w:hAnsi="Noto Sans CJK SC" w:eastAsia="Noto Sans CJK SC"/>
          <w:sz w:val="19"/>
        </w:rPr>
        <w:t>、</w:t>
      </w:r>
      <w:r>
        <w:rPr>
          <w:rFonts w:ascii="Liberation Mono" w:hAnsi="Liberation Mono" w:eastAsia="Liberation Mono"/>
          <w:color w:val="7A3E00"/>
          <w:sz w:val="18"/>
        </w:rPr>
        <w:t>eps=1e-8</w:t>
      </w:r>
      <w:r>
        <w:rPr>
          <w:rFonts w:ascii="Noto Sans CJK SC" w:hAnsi="Noto Sans CJK SC" w:eastAsia="Noto Sans CJK SC"/>
          <w:sz w:val="19"/>
        </w:rPr>
        <w:t>、weight decay 0.1、global grad clip 1.0、dropout 0。采用WSD（Warmup–Stable–Decay）：前1,000 optimizer steps从0线性warmup到</w:t>
      </w:r>
      <w:r>
        <w:rPr>
          <w:rFonts w:ascii="Liberation Mono" w:hAnsi="Liberation Mono" w:eastAsia="Liberation Mono"/>
          <w:color w:val="7A3E00"/>
          <w:sz w:val="18"/>
        </w:rPr>
        <w:t>3e-4</w:t>
      </w:r>
      <w:r>
        <w:rPr>
          <w:rFonts w:ascii="Noto Sans CJK SC" w:hAnsi="Noto Sans CJK SC" w:eastAsia="Noto Sans CJK SC"/>
          <w:sz w:val="19"/>
        </w:rPr>
        <w:t>；stable段保持</w:t>
      </w:r>
      <w:r>
        <w:rPr>
          <w:rFonts w:ascii="Liberation Mono" w:hAnsi="Liberation Mono" w:eastAsia="Liberation Mono"/>
          <w:color w:val="7A3E00"/>
          <w:sz w:val="18"/>
        </w:rPr>
        <w:t>3e-4</w:t>
      </w:r>
      <w:r>
        <w:rPr>
          <w:rFonts w:ascii="Noto Sans CJK SC" w:hAnsi="Noto Sans CJK SC" w:eastAsia="Noto Sans CJK SC"/>
          <w:sz w:val="19"/>
        </w:rPr>
        <w:t>且不预设结束step；冻结development停滞或过拟合条件触发后，执行固定10,000-step cosine decay到</w:t>
      </w:r>
      <w:r>
        <w:rPr>
          <w:rFonts w:ascii="Liberation Mono" w:hAnsi="Liberation Mono" w:eastAsia="Liberation Mono"/>
          <w:color w:val="7A3E00"/>
          <w:sz w:val="18"/>
        </w:rPr>
        <w:t>3e-5</w:t>
      </w:r>
      <w:r>
        <w:rPr>
          <w:rFonts w:ascii="Noto Sans CJK SC" w:hAnsi="Noto Sans CJK SC" w:eastAsia="Noto Sans CJK SC"/>
          <w:sz w:val="19"/>
        </w:rPr>
        <w:t>并停止。RC第二视图增加processed forward tokens，但不让scheduler额外前进。</w:t>
      </w:r>
    </w:p>
    <w:p>
      <w:pPr>
        <w:pStyle w:val="Heading2"/>
      </w:pPr>
      <w:r>
        <w:t>7.4 128K显存设计</w:t>
      </w:r>
    </w:p>
    <w:p>
      <w:r>
        <w:rPr>
          <w:rFonts w:ascii="Noto Sans CJK SC" w:hAnsi="Noto Sans CJK SC" w:eastAsia="Noto Sans CJK SC"/>
          <w:sz w:val="19"/>
        </w:rPr>
        <w:t>331,661,083个训练参数按约16 bytes/parameter的保守状态预算约4.94 GiB。单条128K的1024维bf16 hidden约0.25 GiB，FP32 residual约0.50 GiB；若47层逐层保留hidden+residual边界，理论约35.25 GiB，所以“逐层checkpoint”不够。</w:t>
      </w:r>
    </w:p>
    <w:p>
      <w:r>
        <w:rPr>
          <w:rFonts w:ascii="Noto Sans CJK SC" w:hAnsi="Noto Sans CJK SC" w:eastAsia="Noto Sans CJK SC"/>
          <w:sz w:val="19"/>
        </w:rPr>
        <w:t>正式候选采用每4–6层一组的hierarchical/selective activation checkpoint、chunked selective scan/head、fused RMSNorm/scan。若仍不够，顺序是优化分组与kernel、optimizer-state sharding、保持全局状态连续的sequence parallel。不能缩模型、截断128K或把128K切成互不通信短块后继续使用原名称。</w:t>
      </w:r>
    </w:p>
    <w:p>
      <w:pPr>
        <w:pStyle w:val="Heading2"/>
      </w:pPr>
      <w:r>
        <w:t>7.5 Checkpoint与winner</w:t>
      </w:r>
    </w:p>
    <w:p>
      <w:r>
        <w:rPr>
          <w:rFonts w:ascii="Noto Sans CJK SC" w:hAnsi="Noto Sans CJK SC" w:eastAsia="Noto Sans CJK SC"/>
          <w:sz w:val="19"/>
        </w:rPr>
        <w:t>每500 steps原子保存rolling checkpoint，仅留最近3个；每2,000 steps在固定development panel评估并只保留best 3。永久里程碑为</w:t>
      </w:r>
      <w:r>
        <w:rPr>
          <w:rFonts w:ascii="Liberation Mono" w:hAnsi="Liberation Mono" w:eastAsia="Liberation Mono"/>
          <w:color w:val="7A3E00"/>
          <w:sz w:val="18"/>
        </w:rPr>
        <w:t>0.25×/0.5×/1×/2×/4×/8×… first-cycle exposure-equivalent</w:t>
      </w:r>
      <w:r>
        <w:rPr>
          <w:rFonts w:ascii="Noto Sans CJK SC" w:hAnsi="Noto Sans CJK SC" w:eastAsia="Noto Sans CJK SC"/>
          <w:sz w:val="19"/>
        </w:rPr>
        <w:t>、WSD触发点和最终点，不再使用依赖预定终点的10%/25%/50%/75%/100%。Formal run前还要冻结可核验公共基线的processed-token/FLOPs目标，首次跨越时永久保存compute-matched checkpoint；它们只参加公平预算辅助轨，不参与WSD或winner选择。Winner只按</w:t>
      </w:r>
      <w:r>
        <w:rPr>
          <w:rFonts w:ascii="Liberation Mono" w:hAnsi="Liberation Mono" w:eastAsia="Liberation Mono"/>
          <w:color w:val="7A3E00"/>
          <w:sz w:val="18"/>
        </w:rPr>
        <w:t>fixed_dev_MLM_NLL</w:t>
      </w:r>
      <w:r>
        <w:rPr>
          <w:rFonts w:ascii="Noto Sans CJK SC" w:hAnsi="Noto Sans CJK SC" w:eastAsia="Noto Sans CJK SC"/>
          <w:sz w:val="19"/>
        </w:rPr>
        <w:t>选择；辅助heads仅作退化诊断。若score差&lt;0.1%，选择scheduled sampling tokens更少的checkpoint。下游test、公共test和sealed pretraining test都不能选checkpoint或触发停止。</w:t>
      </w:r>
    </w:p>
    <w:p>
      <w:pPr>
        <w:pStyle w:val="Heading2"/>
      </w:pPr>
      <w:r>
        <w:t>7.6 停止规则</w:t>
      </w:r>
    </w:p>
    <w:p>
      <w:r>
        <w:rPr>
          <w:rFonts w:ascii="Noto Sans CJK SC" w:hAnsi="Noto Sans CJK SC" w:eastAsia="Noto Sans CJK SC"/>
          <w:sz w:val="19"/>
        </w:rPr>
        <w:t>NaN/Inf、数据hash漂移、sampler cycle/cursor回退、同cycle重复anchor&gt;0、world-size变化后继续写原run、标签越界或remap失败均硬停止。Fixed development NLL相对历史最佳恶化&gt;20%并连续两个评估成立时，按异常硬停止，不打开sealed test“找最好点”。</w:t>
      </w:r>
    </w:p>
    <w:p>
      <w:r>
        <w:rPr>
          <w:rFonts w:ascii="Noto Sans CJK SC" w:hAnsi="Noto Sans CJK SC" w:eastAsia="Noto Sans CJK SC"/>
          <w:sz w:val="19"/>
        </w:rPr>
        <w:t>科学收敛判断只有在首轮全部强制pool完成coverage cycle 1或形成冻结deficit，且全局step≥20,000后才启用。若连续5次development评估中，全局fixed-dev NLL改善均&lt;0.1%，并且32K/64K/128K三个长context stratum均无≥0.2%改善，则保存</w:t>
      </w:r>
      <w:r>
        <w:rPr>
          <w:rFonts w:ascii="Liberation Mono" w:hAnsi="Liberation Mono" w:eastAsia="Liberation Mono"/>
          <w:color w:val="7A3E00"/>
          <w:sz w:val="18"/>
        </w:rPr>
        <w:t>WSD_TRIGGER</w:t>
      </w:r>
      <w:r>
        <w:rPr>
          <w:rFonts w:ascii="Noto Sans CJK SC" w:hAnsi="Noto Sans CJK SC" w:eastAsia="Noto Sans CJK SC"/>
          <w:sz w:val="19"/>
        </w:rPr>
        <w:t>并进入10,000-step decay。若连续3次出现online train NLL继续改善而fixed development NLL相对最佳恶化≥0.5%，也触发decay。Decay一旦开始不得撤回、延长或修改patience；完成后停止，并仅按fixed development NLL选winner。若条件长期不满足，训练继续，没有累计token/step上限；每20,000 steps发布一次train/development暴露、泛化和计算报告。</w:t>
      </w:r>
    </w:p>
    <w:p>
      <w:pPr>
        <w:pStyle w:val="Heading1"/>
      </w:pPr>
      <w:r>
        <w:t>8. 验证、测试和下游数据之间的边界</w:t>
      </w:r>
    </w:p>
    <w:p>
      <w:pPr>
        <w:pStyle w:val="Heading2"/>
      </w:pPr>
      <w:r>
        <w:t>8.1 三条暴露轨道</w:t>
      </w:r>
    </w:p>
    <w:p>
      <w:pPr>
        <w:pStyle w:val="ListBullet"/>
      </w:pPr>
      <w:r>
        <w:rPr>
          <w:rFonts w:ascii="Noto Sans CJK SC" w:hAnsi="Noto Sans CJK SC" w:eastAsia="Noto Sans CJK SC"/>
          <w:b/>
          <w:color w:val="17365D"/>
          <w:sz w:val="18"/>
        </w:rPr>
        <w:t>clean-inductive</w:t>
      </w:r>
      <w:r>
        <w:rPr>
          <w:rFonts w:ascii="Noto Sans CJK SC" w:hAnsi="Noto Sans CJK SC" w:eastAsia="Noto Sans CJK SC"/>
          <w:sz w:val="18"/>
        </w:rPr>
        <w:t>：下游test的assembly/区域/orthogroup/haplotype及近重复组件从预训练train、development、acceptance和辅助标签全部移除；区域向两侧扩展131,071 bp halo，任何预训练窗口与halo相交即拒绝。</w:t>
      </w:r>
    </w:p>
    <w:p>
      <w:pPr>
        <w:pStyle w:val="ListBullet"/>
      </w:pPr>
      <w:r>
        <w:rPr>
          <w:rFonts w:ascii="Noto Sans CJK SC" w:hAnsi="Noto Sans CJK SC" w:eastAsia="Noto Sans CJK SC"/>
          <w:b/>
          <w:color w:val="17365D"/>
          <w:sz w:val="18"/>
        </w:rPr>
        <w:t>label-transfer</w:t>
      </w:r>
      <w:r>
        <w:rPr>
          <w:rFonts w:ascii="Noto Sans CJK SC" w:hAnsi="Noto Sans CJK SC" w:eastAsia="Noto Sans CJK SC"/>
          <w:sz w:val="18"/>
        </w:rPr>
        <w:t>：允许目标物种无标签DNA参加MLM，但任务标签、pair和统计量隔离；只能说标签迁移。</w:t>
      </w:r>
    </w:p>
    <w:p>
      <w:pPr>
        <w:pStyle w:val="ListBullet"/>
      </w:pPr>
      <w:r>
        <w:rPr>
          <w:rFonts w:ascii="Noto Sans CJK SC" w:hAnsi="Noto Sans CJK SC" w:eastAsia="Noto Sans CJK SC"/>
          <w:b/>
          <w:color w:val="17365D"/>
          <w:sz w:val="18"/>
        </w:rPr>
        <w:t>public-exposure-unknown</w:t>
      </w:r>
      <w:r>
        <w:rPr>
          <w:rFonts w:ascii="Noto Sans CJK SC" w:hAnsi="Noto Sans CJK SC" w:eastAsia="Noto Sans CJK SC"/>
          <w:sz w:val="18"/>
        </w:rPr>
        <w:t>：公共模型预训练清单无法完全审计时标记UNKNOWN；不把暴露不对称当成架构胜负。</w:t>
      </w:r>
    </w:p>
    <w:p>
      <w:pPr>
        <w:pStyle w:val="Heading2"/>
      </w:pPr>
      <w:r>
        <w:t>8.2 下游最低通用门槛</w:t>
      </w:r>
    </w:p>
    <w:p>
      <w:r>
        <w:rPr>
          <w:rFonts w:ascii="Noto Sans CJK SC" w:hAnsi="Noto Sans CJK SC" w:eastAsia="Noto Sans CJK SC"/>
          <w:sz w:val="19"/>
        </w:rPr>
        <w:t>除任务专门门槛外，确认性binary任务test至少100个阳性、100个匹配负例和30个最高层独立单位；multiclass至少每类50个独立单位且总数≥300；regression至少300个独立样本和30个最高层cluster；retrieval至少500个query、100个未见family且每个query有≥20个候选。Base-level数量很大也不能替代assembly、orthogroup、study或haplotype独立性。</w:t>
      </w:r>
    </w:p>
    <w:p>
      <w:pPr>
        <w:pStyle w:val="Heading2"/>
      </w:pPr>
      <w:r>
        <w:t>8.3 标签质量层级</w:t>
      </w:r>
    </w:p>
    <w:p>
      <w:pPr>
        <w:pStyle w:val="ListBullet"/>
      </w:pPr>
      <w:r>
        <w:rPr>
          <w:rFonts w:ascii="Liberation Mono" w:hAnsi="Liberation Mono" w:eastAsia="Liberation Mono"/>
          <w:color w:val="7A3E00"/>
          <w:sz w:val="17"/>
        </w:rPr>
        <w:t>DIRECT</w:t>
      </w:r>
      <w:r>
        <w:rPr>
          <w:rFonts w:ascii="Noto Sans CJK SC" w:hAnsi="Noto Sans CJK SC" w:eastAsia="Noto Sans CJK SC"/>
          <w:sz w:val="18"/>
        </w:rPr>
        <w:t>：功能验证、实验peak、严格pangenome事件、核验边界、可靠表达定量；可进入主分析。</w:t>
      </w:r>
    </w:p>
    <w:p>
      <w:pPr>
        <w:pStyle w:val="ListBullet"/>
      </w:pPr>
      <w:r>
        <w:rPr>
          <w:rFonts w:ascii="Liberation Mono" w:hAnsi="Liberation Mono" w:eastAsia="Liberation Mono"/>
          <w:color w:val="7A3E00"/>
          <w:sz w:val="17"/>
        </w:rPr>
        <w:t>STRONG_INFERENCE</w:t>
      </w:r>
      <w:r>
        <w:rPr>
          <w:rFonts w:ascii="Noto Sans CJK SC" w:hAnsi="Noto Sans CJK SC" w:eastAsia="Noto Sans CJK SC"/>
          <w:sz w:val="18"/>
        </w:rPr>
        <w:t>：fine-mapping credible set、跨工具一致且有独立证据；可进入主分析但分层。</w:t>
      </w:r>
    </w:p>
    <w:p>
      <w:pPr>
        <w:pStyle w:val="ListBullet"/>
      </w:pPr>
      <w:r>
        <w:rPr>
          <w:rFonts w:ascii="Liberation Mono" w:hAnsi="Liberation Mono" w:eastAsia="Liberation Mono"/>
          <w:color w:val="7A3E00"/>
          <w:sz w:val="17"/>
        </w:rPr>
        <w:t>PROXY</w:t>
      </w:r>
      <w:r>
        <w:rPr>
          <w:rFonts w:ascii="Noto Sans CJK SC" w:hAnsi="Noto Sans CJK SC" w:eastAsia="Noto Sans CJK SC"/>
          <w:sz w:val="18"/>
        </w:rPr>
        <w:t>：普通GWAS峰、选择扫描、启发式promoter、单一预测软件；只作探索或敏感性。</w:t>
      </w:r>
    </w:p>
    <w:p>
      <w:pPr>
        <w:pStyle w:val="ListBullet"/>
      </w:pPr>
      <w:r>
        <w:rPr>
          <w:rFonts w:ascii="Liberation Mono" w:hAnsi="Liberation Mono" w:eastAsia="Liberation Mono"/>
          <w:color w:val="7A3E00"/>
          <w:sz w:val="17"/>
        </w:rPr>
        <w:t>UNKNOWN/CONFLICT</w:t>
      </w:r>
      <w:r>
        <w:rPr>
          <w:rFonts w:ascii="Noto Sans CJK SC" w:hAnsi="Noto Sans CJK SC" w:eastAsia="Noto Sans CJK SC"/>
          <w:sz w:val="18"/>
        </w:rPr>
        <w:t>：不作为0，必须ignore。</w:t>
      </w:r>
    </w:p>
    <w:p>
      <w:pPr>
        <w:pStyle w:val="Heading1"/>
      </w:pPr>
      <w:r>
        <w:t>9. 公共任务：必须覆盖其他基因组模型已有能力</w:t>
      </w:r>
    </w:p>
    <w:p>
      <w:pPr>
        <w:pStyle w:val="Heading2"/>
      </w:pPr>
      <w:r>
        <w:t>P1 调控序列分类</w:t>
      </w:r>
    </w:p>
    <w:p>
      <w:r>
        <w:rPr>
          <w:rFonts w:ascii="Noto Sans CJK SC" w:hAnsi="Noto Sans CJK SC" w:eastAsia="Noto Sans CJK SC"/>
          <w:b/>
          <w:color w:val="17365D"/>
          <w:sz w:val="19"/>
        </w:rPr>
        <w:t>问题</w:t>
      </w:r>
      <w:r>
        <w:rPr>
          <w:rFonts w:ascii="Noto Sans CJK SC" w:hAnsi="Noto Sans CJK SC" w:eastAsia="Noto Sans CJK SC"/>
          <w:sz w:val="19"/>
        </w:rPr>
        <w:t>：基础表征能否识别promoter、enhancer、TF binding、histone mark和开放染色质。</w:t>
      </w:r>
      <w:r>
        <w:rPr>
          <w:rFonts w:ascii="Noto Sans CJK SC" w:hAnsi="Noto Sans CJK SC" w:eastAsia="Noto Sans CJK SC"/>
          <w:b/>
          <w:color w:val="17365D"/>
          <w:sz w:val="19"/>
        </w:rPr>
        <w:t>来源</w:t>
      </w:r>
      <w:r>
        <w:rPr>
          <w:rFonts w:ascii="Noto Sans CJK SC" w:hAnsi="Noto Sans CJK SC" w:eastAsia="Noto Sans CJK SC"/>
          <w:sz w:val="19"/>
        </w:rPr>
        <w:t>：GUE/NT公开任务、PGB和可核验植物ATAC/ChIP数据。</w:t>
      </w:r>
      <w:r>
        <w:rPr>
          <w:rFonts w:ascii="Noto Sans CJK SC" w:hAnsi="Noto Sans CJK SC" w:eastAsia="Noto Sans CJK SC"/>
          <w:b/>
          <w:color w:val="17365D"/>
          <w:sz w:val="19"/>
        </w:rPr>
        <w:t>输入</w:t>
      </w:r>
      <w:r>
        <w:rPr>
          <w:rFonts w:ascii="Noto Sans CJK SC" w:hAnsi="Noto Sans CJK SC" w:eastAsia="Noto Sans CJK SC"/>
          <w:sz w:val="19"/>
        </w:rPr>
        <w:t>：按官方长度复现；本项目统一轨道以4K为主。</w:t>
      </w:r>
      <w:r>
        <w:rPr>
          <w:rFonts w:ascii="Noto Sans CJK SC" w:hAnsi="Noto Sans CJK SC" w:eastAsia="Noto Sans CJK SC"/>
          <w:b/>
          <w:color w:val="17365D"/>
          <w:sz w:val="19"/>
        </w:rPr>
        <w:t>split</w:t>
      </w:r>
      <w:r>
        <w:rPr>
          <w:rFonts w:ascii="Noto Sans CJK SC" w:hAnsi="Noto Sans CJK SC" w:eastAsia="Noto Sans CJK SC"/>
          <w:sz w:val="19"/>
        </w:rPr>
        <w:t>：染色体block、assembly cluster和重叠peak成组。</w:t>
      </w:r>
      <w:r>
        <w:rPr>
          <w:rFonts w:ascii="Noto Sans CJK SC" w:hAnsi="Noto Sans CJK SC" w:eastAsia="Noto Sans CJK SC"/>
          <w:b/>
          <w:color w:val="17365D"/>
          <w:sz w:val="19"/>
        </w:rPr>
        <w:t>负例</w:t>
      </w:r>
      <w:r>
        <w:rPr>
          <w:rFonts w:ascii="Noto Sans CJK SC" w:hAnsi="Noto Sans CJK SC" w:eastAsia="Noto Sans CJK SC"/>
          <w:sz w:val="19"/>
        </w:rPr>
        <w:t>：同GC、长度、repeat、距TSS和callable背景。</w:t>
      </w:r>
      <w:r>
        <w:rPr>
          <w:rFonts w:ascii="Noto Sans CJK SC" w:hAnsi="Noto Sans CJK SC" w:eastAsia="Noto Sans CJK SC"/>
          <w:b/>
          <w:color w:val="17365D"/>
          <w:sz w:val="19"/>
        </w:rPr>
        <w:t>head</w:t>
      </w:r>
      <w:r>
        <w:rPr>
          <w:rFonts w:ascii="Noto Sans CJK SC" w:hAnsi="Noto Sans CJK SC" w:eastAsia="Noto Sans CJK SC"/>
          <w:sz w:val="19"/>
        </w:rPr>
        <w:t>：冻结骨干线性probe和同预算PEFT。</w:t>
      </w:r>
      <w:r>
        <w:rPr>
          <w:rFonts w:ascii="Noto Sans CJK SC" w:hAnsi="Noto Sans CJK SC" w:eastAsia="Noto Sans CJK SC"/>
          <w:b/>
          <w:color w:val="17365D"/>
          <w:sz w:val="19"/>
        </w:rPr>
        <w:t>主指标</w:t>
      </w:r>
      <w:r>
        <w:rPr>
          <w:rFonts w:ascii="Noto Sans CJK SC" w:hAnsi="Noto Sans CJK SC" w:eastAsia="Noto Sans CJK SC"/>
          <w:sz w:val="19"/>
        </w:rPr>
        <w:t>：AUPRC；MCC和macro-F1为辅。</w:t>
      </w:r>
      <w:r>
        <w:rPr>
          <w:rFonts w:ascii="Noto Sans CJK SC" w:hAnsi="Noto Sans CJK SC" w:eastAsia="Noto Sans CJK SC"/>
          <w:b/>
          <w:color w:val="17365D"/>
          <w:sz w:val="19"/>
        </w:rPr>
        <w:t>基线</w:t>
      </w:r>
      <w:r>
        <w:rPr>
          <w:rFonts w:ascii="Noto Sans CJK SC" w:hAnsi="Noto Sans CJK SC" w:eastAsia="Noto Sans CJK SC"/>
          <w:sz w:val="19"/>
        </w:rPr>
        <w:t>：DNABERT-2、NT-v2-500M、AgroNT、PlantCAD2、PlantCaduceus、CNN。该任务证明通用能力，不作为十字花科创新。</w:t>
      </w:r>
    </w:p>
    <w:p>
      <w:pPr>
        <w:pStyle w:val="Heading2"/>
      </w:pPr>
      <w:r>
        <w:t>P2 AgroNT/PGB八类兼容任务</w:t>
      </w:r>
    </w:p>
    <w:p>
      <w:r>
        <w:rPr>
          <w:rFonts w:ascii="Noto Sans CJK SC" w:hAnsi="Noto Sans CJK SC" w:eastAsia="Noto Sans CJK SC"/>
          <w:sz w:val="19"/>
        </w:rPr>
        <w:t>正式复现PGB的polyadenylation、splice site、lncRNA、promoter strength、terminator strength、chromatin accessibility、gene expression和enhancer八类任务。公开数据来自</w:t>
      </w:r>
      <w:hyperlink r:id="rId24">
        <w:r>
          <w:rPr>
            <w:color w:val="2F5597"/>
            <w:u w:val="single"/>
            <w:rFonts w:ascii="Noto Sans CJK SC" w:eastAsia="Noto Sans CJK SC"/>
          </w:rPr>
          <w:t>PGB Hugging Face release</w:t>
        </w:r>
      </w:hyperlink>
      <w:r>
        <w:rPr>
          <w:rFonts w:ascii="Noto Sans CJK SC" w:hAnsi="Noto Sans CJK SC" w:eastAsia="Noto Sans CJK SC"/>
          <w:sz w:val="19"/>
        </w:rPr>
        <w:t>。先做官方split复现，再构建物种/属留出的严格split。输入长度保持原始400/398/101–6000/170/170/1000/6000/1000 bp合同。主比较是AgroNT、PlantCAD2-M/L、本模型和任务专家；NT与DNABERT-2作为通用基线。官方结果与严格结果不合并。</w:t>
      </w:r>
    </w:p>
    <w:p>
      <w:pPr>
        <w:pStyle w:val="Heading2"/>
      </w:pPr>
      <w:r>
        <w:t>P2B PlantCAD2兼容任务</w:t>
      </w:r>
    </w:p>
    <w:p>
      <w:r>
        <w:rPr>
          <w:rFonts w:ascii="Noto Sans CJK SC" w:hAnsi="Noto Sans CJK SC" w:eastAsia="Noto Sans CJK SC"/>
          <w:sz w:val="19"/>
        </w:rPr>
        <w:t>覆盖其12项zero-shot和7项微调范式：跨物种conservation、TIS/TTS、splice donor/acceptor恢复、core/non-core junction conservation、SV effect、跨物种ACR、92 cell types ACR、表达on/off与回归、翻译on/off与回归。数据优先使用其</w:t>
      </w:r>
      <w:hyperlink r:id="rId14">
        <w:r>
          <w:rPr>
            <w:color w:val="2F5597"/>
            <w:u w:val="single"/>
            <w:rFonts w:ascii="Noto Sans CJK SC" w:eastAsia="Noto Sans CJK SC"/>
          </w:rPr>
          <w:t>公开集合</w:t>
        </w:r>
      </w:hyperlink>
      <w:r>
        <w:rPr>
          <w:rFonts w:ascii="Noto Sans CJK SC" w:hAnsi="Noto Sans CJK SC" w:eastAsia="Noto Sans CJK SC"/>
          <w:sz w:val="19"/>
        </w:rPr>
        <w:t>和代码定义；先复现8,192 bp合同，再增加Brassicaceae整属留出。PlantCAD2-M是近参数匹配基线，PlantCAD2-L是强植物上界。</w:t>
      </w:r>
    </w:p>
    <w:p>
      <w:pPr>
        <w:pStyle w:val="Heading2"/>
      </w:pPr>
      <w:r>
        <w:t>P3 翻译和剪接边界迁移（确认性）</w:t>
      </w:r>
    </w:p>
    <w:p>
      <w:r>
        <w:rPr>
          <w:rFonts w:ascii="Noto Sans CJK SC" w:hAnsi="Noto Sans CJK SC" w:eastAsia="Noto Sans CJK SC"/>
          <w:b/>
          <w:color w:val="17365D"/>
          <w:sz w:val="19"/>
        </w:rPr>
        <w:t>训练/测试</w:t>
      </w:r>
      <w:r>
        <w:rPr>
          <w:rFonts w:ascii="Noto Sans CJK SC" w:hAnsi="Noto Sans CJK SC" w:eastAsia="Noto Sans CJK SC"/>
          <w:sz w:val="19"/>
        </w:rPr>
        <w:t>：Arabidopsis或注释丰富train物种训练，Brassica、Camelina、Cardamine等整属/整物种外测；orthogroup和assembly cluster不跨split。</w:t>
      </w:r>
      <w:r>
        <w:rPr>
          <w:rFonts w:ascii="Noto Sans CJK SC" w:hAnsi="Noto Sans CJK SC" w:eastAsia="Noto Sans CJK SC"/>
          <w:b/>
          <w:color w:val="17365D"/>
          <w:sz w:val="19"/>
        </w:rPr>
        <w:t>输入</w:t>
      </w:r>
      <w:r>
        <w:rPr>
          <w:rFonts w:ascii="Noto Sans CJK SC" w:hAnsi="Noto Sans CJK SC" w:eastAsia="Noto Sans CJK SC"/>
          <w:sz w:val="19"/>
        </w:rPr>
        <w:t>：4K中心窗口，并另报16K/64K上下文。</w:t>
      </w:r>
      <w:r>
        <w:rPr>
          <w:rFonts w:ascii="Noto Sans CJK SC" w:hAnsi="Noto Sans CJK SC" w:eastAsia="Noto Sans CJK SC"/>
          <w:b/>
          <w:color w:val="17365D"/>
          <w:sz w:val="19"/>
        </w:rPr>
        <w:t>标签</w:t>
      </w:r>
      <w:r>
        <w:rPr>
          <w:rFonts w:ascii="Noto Sans CJK SC" w:hAnsi="Noto Sans CJK SC" w:eastAsia="Noto Sans CJK SC"/>
          <w:sz w:val="19"/>
        </w:rPr>
        <w:t>：start、stop、donor、acceptor直接GFF证据。</w:t>
      </w:r>
      <w:r>
        <w:rPr>
          <w:rFonts w:ascii="Noto Sans CJK SC" w:hAnsi="Noto Sans CJK SC" w:eastAsia="Noto Sans CJK SC"/>
          <w:b/>
          <w:color w:val="17365D"/>
          <w:sz w:val="19"/>
        </w:rPr>
        <w:t>hard negative</w:t>
      </w:r>
      <w:r>
        <w:rPr>
          <w:rFonts w:ascii="Noto Sans CJK SC" w:hAnsi="Noto Sans CJK SC" w:eastAsia="Noto Sans CJK SC"/>
          <w:sz w:val="19"/>
        </w:rPr>
        <w:t>：同region、同frame、含相似canonical motif但不是真边界。</w:t>
      </w:r>
      <w:r>
        <w:rPr>
          <w:rFonts w:ascii="Noto Sans CJK SC" w:hAnsi="Noto Sans CJK SC" w:eastAsia="Noto Sans CJK SC"/>
          <w:b/>
          <w:color w:val="17365D"/>
          <w:sz w:val="19"/>
        </w:rPr>
        <w:t>最低门槛</w:t>
      </w:r>
      <w:r>
        <w:rPr>
          <w:rFonts w:ascii="Noto Sans CJK SC" w:hAnsi="Noto Sans CJK SC" w:eastAsia="Noto Sans CJK SC"/>
          <w:sz w:val="19"/>
        </w:rPr>
        <w:t>：每类test阳性≥10,000，至少3个held-out属、500个未见orthogroup和6个assembly clusters。</w:t>
      </w:r>
      <w:r>
        <w:rPr>
          <w:rFonts w:ascii="Noto Sans CJK SC" w:hAnsi="Noto Sans CJK SC" w:eastAsia="Noto Sans CJK SC"/>
          <w:b/>
          <w:color w:val="17365D"/>
          <w:sz w:val="19"/>
        </w:rPr>
        <w:t>主指标</w:t>
      </w:r>
      <w:r>
        <w:rPr>
          <w:rFonts w:ascii="Noto Sans CJK SC" w:hAnsi="Noto Sans CJK SC" w:eastAsia="Noto Sans CJK SC"/>
          <w:sz w:val="19"/>
        </w:rPr>
        <w:t>：四类boundary macro-AUPRC；±1/±3 bp F1为辅。</w:t>
      </w:r>
      <w:r>
        <w:rPr>
          <w:rFonts w:ascii="Noto Sans CJK SC" w:hAnsi="Noto Sans CJK SC" w:eastAsia="Noto Sans CJK SC"/>
          <w:b/>
          <w:color w:val="17365D"/>
          <w:sz w:val="19"/>
        </w:rPr>
        <w:t>基线</w:t>
      </w:r>
      <w:r>
        <w:rPr>
          <w:rFonts w:ascii="Noto Sans CJK SC" w:hAnsi="Noto Sans CJK SC" w:eastAsia="Noto Sans CJK SC"/>
          <w:sz w:val="19"/>
        </w:rPr>
        <w:t>：PlantCAD2、PlantCaduceus、GPN、AgroNT、NT、SpliceAI式专家、PWM。结构辅助预训练不算纯zero-shot，必须给self-supervised-only消融。</w:t>
      </w:r>
    </w:p>
    <w:p>
      <w:pPr>
        <w:pStyle w:val="Heading2"/>
      </w:pPr>
      <w:r>
        <w:t>P4 单碱基多标签分割（确认性）</w:t>
      </w:r>
    </w:p>
    <w:p>
      <w:r>
        <w:rPr>
          <w:rFonts w:ascii="Noto Sans CJK SC" w:hAnsi="Noto Sans CJK SC" w:eastAsia="Noto Sans CJK SC"/>
          <w:b/>
          <w:color w:val="17365D"/>
          <w:sz w:val="19"/>
        </w:rPr>
        <w:t>输入</w:t>
      </w:r>
      <w:r>
        <w:rPr>
          <w:rFonts w:ascii="Noto Sans CJK SC" w:hAnsi="Noto Sans CJK SC" w:eastAsia="Noto Sans CJK SC"/>
          <w:sz w:val="19"/>
        </w:rPr>
        <w:t>：4K/16K/64K；</w:t>
      </w:r>
      <w:r>
        <w:rPr>
          <w:rFonts w:ascii="Noto Sans CJK SC" w:hAnsi="Noto Sans CJK SC" w:eastAsia="Noto Sans CJK SC"/>
          <w:b/>
          <w:color w:val="17365D"/>
          <w:sz w:val="19"/>
        </w:rPr>
        <w:t>标签</w:t>
      </w:r>
      <w:r>
        <w:rPr>
          <w:rFonts w:ascii="Noto Sans CJK SC" w:hAnsi="Noto Sans CJK SC" w:eastAsia="Noto Sans CJK SC"/>
          <w:sz w:val="19"/>
        </w:rPr>
        <w:t>：九region、三frame、六boundary和unknown mask；</w:t>
      </w:r>
      <w:r>
        <w:rPr>
          <w:rFonts w:ascii="Noto Sans CJK SC" w:hAnsi="Noto Sans CJK SC" w:eastAsia="Noto Sans CJK SC"/>
          <w:b/>
          <w:color w:val="17365D"/>
          <w:sz w:val="19"/>
        </w:rPr>
        <w:t>split</w:t>
      </w:r>
      <w:r>
        <w:rPr>
          <w:rFonts w:ascii="Noto Sans CJK SC" w:hAnsi="Noto Sans CJK SC" w:eastAsia="Noto Sans CJK SC"/>
          <w:sz w:val="19"/>
        </w:rPr>
        <w:t>：orthogroup+assembly cluster，整物种外测；</w:t>
      </w:r>
      <w:r>
        <w:rPr>
          <w:rFonts w:ascii="Noto Sans CJK SC" w:hAnsi="Noto Sans CJK SC" w:eastAsia="Noto Sans CJK SC"/>
          <w:b/>
          <w:color w:val="17365D"/>
          <w:sz w:val="19"/>
        </w:rPr>
        <w:t>最低门槛</w:t>
      </w:r>
      <w:r>
        <w:rPr>
          <w:rFonts w:ascii="Noto Sans CJK SC" w:hAnsi="Noto Sans CJK SC" w:eastAsia="Noto Sans CJK SC"/>
          <w:sz w:val="19"/>
        </w:rPr>
        <w:t>：至少6个held-out assembly clusters、2,000个未见orthogroups，常见region每类≥1M callable test bases，稀疏边界按P3门槛。</w:t>
      </w:r>
      <w:r>
        <w:rPr>
          <w:rFonts w:ascii="Noto Sans CJK SC" w:hAnsi="Noto Sans CJK SC" w:eastAsia="Noto Sans CJK SC"/>
          <w:b/>
          <w:color w:val="17365D"/>
          <w:sz w:val="19"/>
        </w:rPr>
        <w:t>主指标</w:t>
      </w:r>
      <w:r>
        <w:rPr>
          <w:rFonts w:ascii="Noto Sans CJK SC" w:hAnsi="Noto Sans CJK SC" w:eastAsia="Noto Sans CJK SC"/>
          <w:sz w:val="19"/>
        </w:rPr>
        <w:t>：九region macro-AUPRC；边界、frame和segment IoU为辅。</w:t>
      </w:r>
      <w:r>
        <w:rPr>
          <w:rFonts w:ascii="Noto Sans CJK SC" w:hAnsi="Noto Sans CJK SC" w:eastAsia="Noto Sans CJK SC"/>
          <w:b/>
          <w:color w:val="17365D"/>
          <w:sz w:val="19"/>
        </w:rPr>
        <w:t>基线</w:t>
      </w:r>
      <w:r>
        <w:rPr>
          <w:rFonts w:ascii="Noto Sans CJK SC" w:hAnsi="Noto Sans CJK SC" w:eastAsia="Noto Sans CJK SC"/>
          <w:sz w:val="19"/>
        </w:rPr>
        <w:t>：PlantCAD2/PlantCaduceus、SegmentNT适配、Helixer、AUGUSTUS、GeMoMa、one-hot U-Net/CNN。</w:t>
      </w:r>
    </w:p>
    <w:p>
      <w:pPr>
        <w:pStyle w:val="Heading2"/>
      </w:pPr>
      <w:r>
        <w:t>P5 DNA到表达和RNA coverage</w:t>
      </w:r>
    </w:p>
    <w:p>
      <w:r>
        <w:rPr>
          <w:rFonts w:ascii="Noto Sans CJK SC" w:hAnsi="Noto Sans CJK SC" w:eastAsia="Noto Sans CJK SC"/>
          <w:b/>
          <w:color w:val="17365D"/>
          <w:sz w:val="19"/>
        </w:rPr>
        <w:t>来源</w:t>
      </w:r>
      <w:r>
        <w:rPr>
          <w:rFonts w:ascii="Noto Sans CJK SC" w:hAnsi="Noto Sans CJK SC" w:eastAsia="Noto Sans CJK SC"/>
          <w:sz w:val="19"/>
        </w:rPr>
        <w:t>：版本匹配的公共RNA-seq/PRO-seq数据，GEO/SRA/Expression Atlas accession和处理流程逐study冻结。</w:t>
      </w:r>
      <w:r>
        <w:rPr>
          <w:rFonts w:ascii="Noto Sans CJK SC" w:hAnsi="Noto Sans CJK SC" w:eastAsia="Noto Sans CJK SC"/>
          <w:b/>
          <w:color w:val="17365D"/>
          <w:sz w:val="19"/>
        </w:rPr>
        <w:t>输入</w:t>
      </w:r>
      <w:r>
        <w:rPr>
          <w:rFonts w:ascii="Noto Sans CJK SC" w:hAnsi="Noto Sans CJK SC" w:eastAsia="Noto Sans CJK SC"/>
          <w:sz w:val="19"/>
        </w:rPr>
        <w:t>：TSS/基因中心32K/64K/128K；DNA-only主榜；tissue/condition只在扩展榜。</w:t>
      </w:r>
      <w:r>
        <w:rPr>
          <w:rFonts w:ascii="Noto Sans CJK SC" w:hAnsi="Noto Sans CJK SC" w:eastAsia="Noto Sans CJK SC"/>
          <w:b/>
          <w:color w:val="17365D"/>
          <w:sz w:val="19"/>
        </w:rPr>
        <w:t>标签</w:t>
      </w:r>
      <w:r>
        <w:rPr>
          <w:rFonts w:ascii="Noto Sans CJK SC" w:hAnsi="Noto Sans CJK SC" w:eastAsia="Noto Sans CJK SC"/>
          <w:sz w:val="19"/>
        </w:rPr>
        <w:t>：study内规范化TPM或coverage，不能把study批次当生物差异。</w:t>
      </w:r>
      <w:r>
        <w:rPr>
          <w:rFonts w:ascii="Noto Sans CJK SC" w:hAnsi="Noto Sans CJK SC" w:eastAsia="Noto Sans CJK SC"/>
          <w:b/>
          <w:color w:val="17365D"/>
          <w:sz w:val="19"/>
        </w:rPr>
        <w:t>split</w:t>
      </w:r>
      <w:r>
        <w:rPr>
          <w:rFonts w:ascii="Noto Sans CJK SC" w:hAnsi="Noto Sans CJK SC" w:eastAsia="Noto Sans CJK SC"/>
          <w:sz w:val="19"/>
        </w:rPr>
        <w:t>：orthogroup、accession×study×tissue。</w:t>
      </w:r>
      <w:r>
        <w:rPr>
          <w:rFonts w:ascii="Noto Sans CJK SC" w:hAnsi="Noto Sans CJK SC" w:eastAsia="Noto Sans CJK SC"/>
          <w:b/>
          <w:color w:val="17365D"/>
          <w:sz w:val="19"/>
        </w:rPr>
        <w:t>主指标</w:t>
      </w:r>
      <w:r>
        <w:rPr>
          <w:rFonts w:ascii="Noto Sans CJK SC" w:hAnsi="Noto Sans CJK SC" w:eastAsia="Noto Sans CJK SC"/>
          <w:sz w:val="19"/>
        </w:rPr>
        <w:t>：Spearman；R²/MAE为辅。</w:t>
      </w:r>
      <w:r>
        <w:rPr>
          <w:rFonts w:ascii="Noto Sans CJK SC" w:hAnsi="Noto Sans CJK SC" w:eastAsia="Noto Sans CJK SC"/>
          <w:b/>
          <w:color w:val="17365D"/>
          <w:sz w:val="19"/>
        </w:rPr>
        <w:t>基线</w:t>
      </w:r>
      <w:r>
        <w:rPr>
          <w:rFonts w:ascii="Noto Sans CJK SC" w:hAnsi="Noto Sans CJK SC" w:eastAsia="Noto Sans CJK SC"/>
          <w:sz w:val="19"/>
        </w:rPr>
        <w:t>：AgroNT、PlantCAD2、Enformer/Borzoi兼容任务、promoter k-mer。DNA不能解释全部环境表达，性能上限要讨论。</w:t>
      </w:r>
    </w:p>
    <w:p>
      <w:pPr>
        <w:pStyle w:val="Heading2"/>
      </w:pPr>
      <w:r>
        <w:t>P6 长程调控、3D和DNALONGBENCH兼容任务</w:t>
      </w:r>
    </w:p>
    <w:p>
      <w:r>
        <w:rPr>
          <w:rFonts w:ascii="Noto Sans CJK SC" w:hAnsi="Noto Sans CJK SC" w:eastAsia="Noto Sans CJK SC"/>
          <w:b/>
          <w:color w:val="17365D"/>
          <w:sz w:val="19"/>
        </w:rPr>
        <w:t>对象</w:t>
      </w:r>
      <w:r>
        <w:rPr>
          <w:rFonts w:ascii="Noto Sans CJK SC" w:hAnsi="Noto Sans CJK SC" w:eastAsia="Noto Sans CJK SC"/>
          <w:sz w:val="19"/>
        </w:rPr>
        <w:t>：enhancer-target、eQTL、TSS activity、Hi-C/3D contact和远端调控。</w:t>
      </w:r>
      <w:r>
        <w:rPr>
          <w:rFonts w:ascii="Noto Sans CJK SC" w:hAnsi="Noto Sans CJK SC" w:eastAsia="Noto Sans CJK SC"/>
          <w:b/>
          <w:color w:val="17365D"/>
          <w:sz w:val="19"/>
        </w:rPr>
        <w:t>输入</w:t>
      </w:r>
      <w:r>
        <w:rPr>
          <w:rFonts w:ascii="Noto Sans CJK SC" w:hAnsi="Noto Sans CJK SC" w:eastAsia="Noto Sans CJK SC"/>
          <w:sz w:val="19"/>
        </w:rPr>
        <w:t>：32K/64K/128K；</w:t>
      </w:r>
      <w:r>
        <w:rPr>
          <w:rFonts w:ascii="Noto Sans CJK SC" w:hAnsi="Noto Sans CJK SC" w:eastAsia="Noto Sans CJK SC"/>
          <w:b/>
          <w:color w:val="17365D"/>
          <w:sz w:val="19"/>
        </w:rPr>
        <w:t>split</w:t>
      </w:r>
      <w:r>
        <w:rPr>
          <w:rFonts w:ascii="Noto Sans CJK SC" w:hAnsi="Noto Sans CJK SC" w:eastAsia="Noto Sans CJK SC"/>
          <w:sz w:val="19"/>
        </w:rPr>
        <w:t>：染色体block×study×tissue；</w:t>
      </w:r>
      <w:r>
        <w:rPr>
          <w:rFonts w:ascii="Noto Sans CJK SC" w:hAnsi="Noto Sans CJK SC" w:eastAsia="Noto Sans CJK SC"/>
          <w:b/>
          <w:color w:val="17365D"/>
          <w:sz w:val="19"/>
        </w:rPr>
        <w:t>最低门槛</w:t>
      </w:r>
      <w:r>
        <w:rPr>
          <w:rFonts w:ascii="Noto Sans CJK SC" w:hAnsi="Noto Sans CJK SC" w:eastAsia="Noto Sans CJK SC"/>
          <w:sz w:val="19"/>
        </w:rPr>
        <w:t>：若没有至少30个独立染色体/study blocks或直接植物标签，则不进入确认性结果。</w:t>
      </w:r>
      <w:r>
        <w:rPr>
          <w:rFonts w:ascii="Noto Sans CJK SC" w:hAnsi="Noto Sans CJK SC" w:eastAsia="Noto Sans CJK SC"/>
          <w:b/>
          <w:color w:val="17365D"/>
          <w:sz w:val="19"/>
        </w:rPr>
        <w:t>指标</w:t>
      </w:r>
      <w:r>
        <w:rPr>
          <w:rFonts w:ascii="Noto Sans CJK SC" w:hAnsi="Noto Sans CJK SC" w:eastAsia="Noto Sans CJK SC"/>
          <w:sz w:val="19"/>
        </w:rPr>
        <w:t>：任务原始指标及距离分层相关。</w:t>
      </w:r>
      <w:r>
        <w:rPr>
          <w:rFonts w:ascii="Noto Sans CJK SC" w:hAnsi="Noto Sans CJK SC" w:eastAsia="Noto Sans CJK SC"/>
          <w:b/>
          <w:color w:val="17365D"/>
          <w:sz w:val="19"/>
        </w:rPr>
        <w:t>基线</w:t>
      </w:r>
      <w:r>
        <w:rPr>
          <w:rFonts w:ascii="Noto Sans CJK SC" w:hAnsi="Noto Sans CJK SC" w:eastAsia="Noto Sans CJK SC"/>
          <w:sz w:val="19"/>
        </w:rPr>
        <w:t>：Evo2-7B、Caduceus/HyenaDNA、PlantCAD2、Akita/Enformer等专家。该任务必须配32K-vs-128K消融和远端替换实验。</w:t>
      </w:r>
    </w:p>
    <w:p>
      <w:pPr>
        <w:pStyle w:val="Heading2"/>
      </w:pPr>
      <w:r>
        <w:t>P7 变异效应（确认性）</w:t>
      </w:r>
    </w:p>
    <w:p>
      <w:r>
        <w:rPr>
          <w:rFonts w:ascii="Noto Sans CJK SC" w:hAnsi="Noto Sans CJK SC" w:eastAsia="Noto Sans CJK SC"/>
          <w:b/>
          <w:color w:val="17365D"/>
          <w:sz w:val="19"/>
        </w:rPr>
        <w:t>输入</w:t>
      </w:r>
      <w:r>
        <w:rPr>
          <w:rFonts w:ascii="Noto Sans CJK SC" w:hAnsi="Noto Sans CJK SC" w:eastAsia="Noto Sans CJK SC"/>
          <w:sz w:val="19"/>
        </w:rPr>
        <w:t>：ref/alt等长窗口；zero-shot主分数是ref/alt pseudo-log-likelihood差。</w:t>
      </w:r>
      <w:r>
        <w:rPr>
          <w:rFonts w:ascii="Noto Sans CJK SC" w:hAnsi="Noto Sans CJK SC" w:eastAsia="Noto Sans CJK SC"/>
          <w:b/>
          <w:color w:val="17365D"/>
          <w:sz w:val="19"/>
        </w:rPr>
        <w:t>来源</w:t>
      </w:r>
      <w:r>
        <w:rPr>
          <w:rFonts w:ascii="Noto Sans CJK SC" w:hAnsi="Noto Sans CJK SC" w:eastAsia="Noto Sans CJK SC"/>
          <w:sz w:val="19"/>
        </w:rPr>
        <w:t>：1001 Arabidopsis、可靠Brassica群体变异、实验功能变异、GWAS/QTL fine-mapping；每一层标签分开。</w:t>
      </w:r>
      <w:r>
        <w:rPr>
          <w:rFonts w:ascii="Noto Sans CJK SC" w:hAnsi="Noto Sans CJK SC" w:eastAsia="Noto Sans CJK SC"/>
          <w:b/>
          <w:color w:val="17365D"/>
          <w:sz w:val="19"/>
        </w:rPr>
        <w:t>split</w:t>
      </w:r>
      <w:r>
        <w:rPr>
          <w:rFonts w:ascii="Noto Sans CJK SC" w:hAnsi="Noto Sans CJK SC" w:eastAsia="Noto Sans CJK SC"/>
          <w:sz w:val="19"/>
        </w:rPr>
        <w:t>：LD block×population×study×chromosome。</w:t>
      </w:r>
      <w:r>
        <w:rPr>
          <w:rFonts w:ascii="Noto Sans CJK SC" w:hAnsi="Noto Sans CJK SC" w:eastAsia="Noto Sans CJK SC"/>
          <w:b/>
          <w:color w:val="17365D"/>
          <w:sz w:val="19"/>
        </w:rPr>
        <w:t>负例</w:t>
      </w:r>
      <w:r>
        <w:rPr>
          <w:rFonts w:ascii="Noto Sans CJK SC" w:hAnsi="Noto Sans CJK SC" w:eastAsia="Noto Sans CJK SC"/>
          <w:sz w:val="19"/>
        </w:rPr>
        <w:t>：MAF、功能区、callability、距基因和LD匹配。</w:t>
      </w:r>
      <w:r>
        <w:rPr>
          <w:rFonts w:ascii="Noto Sans CJK SC" w:hAnsi="Noto Sans CJK SC" w:eastAsia="Noto Sans CJK SC"/>
          <w:b/>
          <w:color w:val="17365D"/>
          <w:sz w:val="19"/>
        </w:rPr>
        <w:t>最低门槛</w:t>
      </w:r>
      <w:r>
        <w:rPr>
          <w:rFonts w:ascii="Noto Sans CJK SC" w:hAnsi="Noto Sans CJK SC" w:eastAsia="Noto Sans CJK SC"/>
          <w:sz w:val="19"/>
        </w:rPr>
        <w:t>：≥200个DIRECT/STRONG positives、≥400匹配负例、≥30 LD blocks、≥3独立study。</w:t>
      </w:r>
      <w:r>
        <w:rPr>
          <w:rFonts w:ascii="Noto Sans CJK SC" w:hAnsi="Noto Sans CJK SC" w:eastAsia="Noto Sans CJK SC"/>
          <w:b/>
          <w:color w:val="17365D"/>
          <w:sz w:val="19"/>
        </w:rPr>
        <w:t>主指标</w:t>
      </w:r>
      <w:r>
        <w:rPr>
          <w:rFonts w:ascii="Noto Sans CJK SC" w:hAnsi="Noto Sans CJK SC" w:eastAsia="Noto Sans CJK SC"/>
          <w:sz w:val="19"/>
        </w:rPr>
        <w:t>：matched callable set AUPRC；微调、top-1% recall和MAF相关为secondary。</w:t>
      </w:r>
      <w:r>
        <w:rPr>
          <w:rFonts w:ascii="Noto Sans CJK SC" w:hAnsi="Noto Sans CJK SC" w:eastAsia="Noto Sans CJK SC"/>
          <w:b/>
          <w:color w:val="17365D"/>
          <w:sz w:val="19"/>
        </w:rPr>
        <w:t>基线</w:t>
      </w:r>
      <w:r>
        <w:rPr>
          <w:rFonts w:ascii="Noto Sans CJK SC" w:hAnsi="Noto Sans CJK SC" w:eastAsia="Noto Sans CJK SC"/>
          <w:sz w:val="19"/>
        </w:rPr>
        <w:t>：GPN-Brassicales、GPN-MSA、PlantCAD2、PlantCaduceus、AgroNT、Evo2-7B、phyloP/phastCons。</w:t>
      </w:r>
    </w:p>
    <w:p>
      <w:pPr>
        <w:pStyle w:val="Heading1"/>
      </w:pPr>
      <w:r>
        <w:t>10. 十字花科专属与复杂区域任务</w:t>
      </w:r>
    </w:p>
    <w:p>
      <w:r>
        <w:rPr>
          <w:rFonts w:ascii="Noto Sans CJK SC" w:hAnsi="Noto Sans CJK SC" w:eastAsia="Noto Sans CJK SC"/>
          <w:sz w:val="19"/>
        </w:rPr>
        <w:t>这些任务被设计为公共模型可以按同一输入合同真实参评，但它们缺少十字花科关系监督、全基因组长窗口或足够领域深度，因而</w:t>
      </w:r>
      <w:r>
        <w:rPr>
          <w:rFonts w:ascii="Noto Sans CJK SC" w:hAnsi="Noto Sans CJK SC" w:eastAsia="Noto Sans CJK SC"/>
          <w:b/>
          <w:color w:val="17365D"/>
          <w:sz w:val="19"/>
        </w:rPr>
        <w:t>预期</w:t>
      </w:r>
      <w:r>
        <w:rPr>
          <w:rFonts w:ascii="Noto Sans CJK SC" w:hAnsi="Noto Sans CJK SC" w:eastAsia="Noto Sans CJK SC"/>
          <w:sz w:val="19"/>
        </w:rPr>
        <w:t>表现较弱。最终是否较弱必须由sealed test证明，不能在文档里写成既成事实。</w:t>
      </w:r>
    </w:p>
    <w:p>
      <w:pPr>
        <w:pStyle w:val="Heading2"/>
      </w:pPr>
      <w:r>
        <w:t>B1 U三角亚基因组来源和homeolog检索（确认性、旗舰任务）</w:t>
      </w:r>
    </w:p>
    <w:p>
      <w:pPr>
        <w:pStyle w:val="ListBullet"/>
      </w:pPr>
      <w:r>
        <w:rPr>
          <w:rFonts w:ascii="Noto Sans CJK SC" w:hAnsi="Noto Sans CJK SC" w:eastAsia="Noto Sans CJK SC"/>
          <w:b/>
          <w:color w:val="17365D"/>
          <w:sz w:val="18"/>
        </w:rPr>
        <w:t>对象</w:t>
      </w:r>
      <w:r>
        <w:rPr>
          <w:rFonts w:ascii="Noto Sans CJK SC" w:hAnsi="Noto Sans CJK SC" w:eastAsia="Noto Sans CJK SC"/>
          <w:sz w:val="18"/>
        </w:rPr>
        <w:t>：A/B/C二倍体祖先与AB/AC/BC异源多倍体之间的共线关系。</w:t>
      </w:r>
    </w:p>
    <w:p>
      <w:pPr>
        <w:pStyle w:val="ListBullet"/>
      </w:pPr>
      <w:r>
        <w:rPr>
          <w:rFonts w:ascii="Noto Sans CJK SC" w:hAnsi="Noto Sans CJK SC" w:eastAsia="Noto Sans CJK SC"/>
          <w:b/>
          <w:color w:val="17365D"/>
          <w:sz w:val="18"/>
        </w:rPr>
        <w:t>输入</w:t>
      </w:r>
      <w:r>
        <w:rPr>
          <w:rFonts w:ascii="Noto Sans CJK SC" w:hAnsi="Noto Sans CJK SC" w:eastAsia="Noto Sans CJK SC"/>
          <w:sz w:val="18"/>
        </w:rPr>
        <w:t>：gene body+上下游，4K/16K/64K；禁止输入物种名、坐标和亚基因组标签。</w:t>
      </w:r>
    </w:p>
    <w:p>
      <w:pPr>
        <w:pStyle w:val="ListBullet"/>
      </w:pPr>
      <w:r>
        <w:rPr>
          <w:rFonts w:ascii="Noto Sans CJK SC" w:hAnsi="Noto Sans CJK SC" w:eastAsia="Noto Sans CJK SC"/>
          <w:b/>
          <w:color w:val="17365D"/>
          <w:sz w:val="18"/>
        </w:rPr>
        <w:t>标签来源</w:t>
      </w:r>
      <w:r>
        <w:rPr>
          <w:rFonts w:ascii="Noto Sans CJK SC" w:hAnsi="Noto Sans CJK SC" w:eastAsia="Noto Sans CJK SC"/>
          <w:sz w:val="18"/>
        </w:rPr>
        <w:t>：版本匹配的高可信共线block、orthogroup和人工核验亚基因组注释。</w:t>
      </w:r>
    </w:p>
    <w:p>
      <w:pPr>
        <w:pStyle w:val="ListBullet"/>
      </w:pPr>
      <w:r>
        <w:rPr>
          <w:rFonts w:ascii="Noto Sans CJK SC" w:hAnsi="Noto Sans CJK SC" w:eastAsia="Noto Sans CJK SC"/>
          <w:b/>
          <w:color w:val="17365D"/>
          <w:sz w:val="18"/>
        </w:rPr>
        <w:t>任务</w:t>
      </w:r>
      <w:r>
        <w:rPr>
          <w:rFonts w:ascii="Noto Sans CJK SC" w:hAnsi="Noto Sans CJK SC" w:eastAsia="Noto Sans CJK SC"/>
          <w:sz w:val="18"/>
        </w:rPr>
        <w:t>：diploid→polyploid检索、正确homeolog排序、A/B/C来源分类。</w:t>
      </w:r>
    </w:p>
    <w:p>
      <w:pPr>
        <w:pStyle w:val="ListBullet"/>
      </w:pPr>
      <w:r>
        <w:rPr>
          <w:rFonts w:ascii="Noto Sans CJK SC" w:hAnsi="Noto Sans CJK SC" w:eastAsia="Noto Sans CJK SC"/>
          <w:b/>
          <w:color w:val="17365D"/>
          <w:sz w:val="18"/>
        </w:rPr>
        <w:t>split</w:t>
      </w:r>
      <w:r>
        <w:rPr>
          <w:rFonts w:ascii="Noto Sans CJK SC" w:hAnsi="Noto Sans CJK SC" w:eastAsia="Noto Sans CJK SC"/>
          <w:sz w:val="18"/>
        </w:rPr>
        <w:t>：整个orthogroup+cultivar成组；test必须有未见orthogroup和未见cultivar。</w:t>
      </w:r>
    </w:p>
    <w:p>
      <w:pPr>
        <w:pStyle w:val="ListBullet"/>
      </w:pPr>
      <w:r>
        <w:rPr>
          <w:rFonts w:ascii="Noto Sans CJK SC" w:hAnsi="Noto Sans CJK SC" w:eastAsia="Noto Sans CJK SC"/>
          <w:b/>
          <w:color w:val="17365D"/>
          <w:sz w:val="18"/>
        </w:rPr>
        <w:t>hard negative</w:t>
      </w:r>
      <w:r>
        <w:rPr>
          <w:rFonts w:ascii="Noto Sans CJK SC" w:hAnsi="Noto Sans CJK SC" w:eastAsia="Noto Sans CJK SC"/>
          <w:sz w:val="18"/>
        </w:rPr>
        <w:t>：同家族非共线拷贝、GC/长度匹配的异亚基因组基因。</w:t>
      </w:r>
    </w:p>
    <w:p>
      <w:pPr>
        <w:pStyle w:val="ListBullet"/>
      </w:pPr>
      <w:r>
        <w:rPr>
          <w:rFonts w:ascii="Noto Sans CJK SC" w:hAnsi="Noto Sans CJK SC" w:eastAsia="Noto Sans CJK SC"/>
          <w:b/>
          <w:color w:val="17365D"/>
          <w:sz w:val="18"/>
        </w:rPr>
        <w:t>最低门槛</w:t>
      </w:r>
      <w:r>
        <w:rPr>
          <w:rFonts w:ascii="Noto Sans CJK SC" w:hAnsi="Noto Sans CJK SC" w:eastAsia="Noto Sans CJK SC"/>
          <w:sz w:val="18"/>
        </w:rPr>
        <w:t>：六个U三角物种均覆盖；原则上每物种≥2个独立assembly/cultivar；test≥1,000 queries、≥300未见orthogroups，每个来源类≥200 queries。</w:t>
      </w:r>
    </w:p>
    <w:p>
      <w:pPr>
        <w:pStyle w:val="ListBullet"/>
      </w:pPr>
      <w:r>
        <w:rPr>
          <w:rFonts w:ascii="Noto Sans CJK SC" w:hAnsi="Noto Sans CJK SC" w:eastAsia="Noto Sans CJK SC"/>
          <w:b/>
          <w:color w:val="17365D"/>
          <w:sz w:val="18"/>
        </w:rPr>
        <w:t>主指标</w:t>
      </w:r>
      <w:r>
        <w:rPr>
          <w:rFonts w:ascii="Noto Sans CJK SC" w:hAnsi="Noto Sans CJK SC" w:eastAsia="Noto Sans CJK SC"/>
          <w:sz w:val="18"/>
        </w:rPr>
        <w:t>：未见orthogroup MRR；Recall@1/5/10和来源macro-F1为辅。</w:t>
      </w:r>
    </w:p>
    <w:p>
      <w:pPr>
        <w:pStyle w:val="ListBullet"/>
      </w:pPr>
      <w:r>
        <w:rPr>
          <w:rFonts w:ascii="Noto Sans CJK SC" w:hAnsi="Noto Sans CJK SC" w:eastAsia="Noto Sans CJK SC"/>
          <w:b/>
          <w:color w:val="17365D"/>
          <w:sz w:val="18"/>
        </w:rPr>
        <w:t>基线</w:t>
      </w:r>
      <w:r>
        <w:rPr>
          <w:rFonts w:ascii="Noto Sans CJK SC" w:hAnsi="Noto Sans CJK SC" w:eastAsia="Noto Sans CJK SC"/>
          <w:sz w:val="18"/>
        </w:rPr>
        <w:t>：BLAST/MMseqs2+synteny、PlantCAD2-M/L、AgroNT、PlantCaduceus、GPN、Evo2-7B、Caduceus、随机初始化。</w:t>
      </w:r>
    </w:p>
    <w:p>
      <w:pPr>
        <w:pStyle w:val="ListBullet"/>
      </w:pPr>
      <w:r>
        <w:rPr>
          <w:rFonts w:ascii="Noto Sans CJK SC" w:hAnsi="Noto Sans CJK SC" w:eastAsia="Noto Sans CJK SC"/>
          <w:b/>
          <w:color w:val="17365D"/>
          <w:sz w:val="18"/>
        </w:rPr>
        <w:t>为什么可能形成专属优势</w:t>
      </w:r>
      <w:r>
        <w:rPr>
          <w:rFonts w:ascii="Noto Sans CJK SC" w:hAnsi="Noto Sans CJK SC" w:eastAsia="Noto Sans CJK SC"/>
          <w:sz w:val="18"/>
        </w:rPr>
        <w:t>：本模型在预训练中显式看到edge-disjoint homeolog positive和同家族hard negative；公共植物模型没有这一关系目标。但必须用“去掉homeolog loss”消融证明。</w:t>
      </w:r>
    </w:p>
    <w:p>
      <w:pPr>
        <w:pStyle w:val="Heading2"/>
      </w:pPr>
      <w:r>
        <w:t>B2 多倍体homeolog表达偏倚（确认性）</w:t>
      </w:r>
    </w:p>
    <w:p>
      <w:pPr>
        <w:pStyle w:val="ListBullet"/>
      </w:pPr>
      <w:r>
        <w:rPr>
          <w:rFonts w:ascii="Noto Sans CJK SC" w:hAnsi="Noto Sans CJK SC" w:eastAsia="Noto Sans CJK SC"/>
          <w:b/>
          <w:color w:val="17365D"/>
          <w:sz w:val="18"/>
        </w:rPr>
        <w:t>问题</w:t>
      </w:r>
      <w:r>
        <w:rPr>
          <w:rFonts w:ascii="Noto Sans CJK SC" w:hAnsi="Noto Sans CJK SC" w:eastAsia="Noto Sans CJK SC"/>
          <w:sz w:val="18"/>
        </w:rPr>
        <w:t>：仅从成对DNA能否预测同一homeolog pair在组织/条件中的相对表达优势。</w:t>
      </w:r>
    </w:p>
    <w:p>
      <w:pPr>
        <w:pStyle w:val="ListBullet"/>
      </w:pPr>
      <w:r>
        <w:rPr>
          <w:rFonts w:ascii="Noto Sans CJK SC" w:hAnsi="Noto Sans CJK SC" w:eastAsia="Noto Sans CJK SC"/>
          <w:b/>
          <w:color w:val="17365D"/>
          <w:sz w:val="18"/>
        </w:rPr>
        <w:t>输入</w:t>
      </w:r>
      <w:r>
        <w:rPr>
          <w:rFonts w:ascii="Noto Sans CJK SC" w:hAnsi="Noto Sans CJK SC" w:eastAsia="Noto Sans CJK SC"/>
          <w:sz w:val="18"/>
        </w:rPr>
        <w:t>：pair两侧最大128K；主榜只有DNA；组织/环境embedding单列扩展榜。</w:t>
      </w:r>
    </w:p>
    <w:p>
      <w:pPr>
        <w:pStyle w:val="ListBullet"/>
      </w:pPr>
      <w:r>
        <w:rPr>
          <w:rFonts w:ascii="Noto Sans CJK SC" w:hAnsi="Noto Sans CJK SC" w:eastAsia="Noto Sans CJK SC"/>
          <w:b/>
          <w:color w:val="17365D"/>
          <w:sz w:val="18"/>
        </w:rPr>
        <w:t>标签来源</w:t>
      </w:r>
      <w:r>
        <w:rPr>
          <w:rFonts w:ascii="Noto Sans CJK SC" w:hAnsi="Noto Sans CJK SC" w:eastAsia="Noto Sans CJK SC"/>
          <w:sz w:val="18"/>
        </w:rPr>
        <w:t>：homeolog-aware唯一比对或可分配read的RNA-seq；低可映射pair剔除。</w:t>
      </w:r>
    </w:p>
    <w:p>
      <w:pPr>
        <w:pStyle w:val="ListBullet"/>
      </w:pPr>
      <w:r>
        <w:rPr>
          <w:rFonts w:ascii="Noto Sans CJK SC" w:hAnsi="Noto Sans CJK SC" w:eastAsia="Noto Sans CJK SC"/>
          <w:b/>
          <w:color w:val="17365D"/>
          <w:sz w:val="18"/>
        </w:rPr>
        <w:t>split</w:t>
      </w:r>
      <w:r>
        <w:rPr>
          <w:rFonts w:ascii="Noto Sans CJK SC" w:hAnsi="Noto Sans CJK SC" w:eastAsia="Noto Sans CJK SC"/>
          <w:sz w:val="18"/>
        </w:rPr>
        <w:t>：homeolog group、cultivar和tissue-study三重隔离。</w:t>
      </w:r>
    </w:p>
    <w:p>
      <w:pPr>
        <w:pStyle w:val="ListBullet"/>
      </w:pPr>
      <w:r>
        <w:rPr>
          <w:rFonts w:ascii="Noto Sans CJK SC" w:hAnsi="Noto Sans CJK SC" w:eastAsia="Noto Sans CJK SC"/>
          <w:b/>
          <w:color w:val="17365D"/>
          <w:sz w:val="18"/>
        </w:rPr>
        <w:t>最低门槛</w:t>
      </w:r>
      <w:r>
        <w:rPr>
          <w:rFonts w:ascii="Noto Sans CJK SC" w:hAnsi="Noto Sans CJK SC" w:eastAsia="Noto Sans CJK SC"/>
          <w:sz w:val="18"/>
        </w:rPr>
        <w:t>：≥1,500可靠pair、≥3独立study、≥3组织/条件；sealed test≥300 pairs且每个偏倚类别≥100。</w:t>
      </w:r>
    </w:p>
    <w:p>
      <w:pPr>
        <w:pStyle w:val="ListBullet"/>
      </w:pPr>
      <w:r>
        <w:rPr>
          <w:rFonts w:ascii="Noto Sans CJK SC" w:hAnsi="Noto Sans CJK SC" w:eastAsia="Noto Sans CJK SC"/>
          <w:b/>
          <w:color w:val="17365D"/>
          <w:sz w:val="18"/>
        </w:rPr>
        <w:t>主指标</w:t>
      </w:r>
      <w:r>
        <w:rPr>
          <w:rFonts w:ascii="Noto Sans CJK SC" w:hAnsi="Noto Sans CJK SC" w:eastAsia="Noto Sans CJK SC"/>
          <w:sz w:val="18"/>
        </w:rPr>
        <w:t>：pairwise accuracy；macro-F1、Spearman和校准为辅。</w:t>
      </w:r>
    </w:p>
    <w:p>
      <w:pPr>
        <w:pStyle w:val="ListBullet"/>
      </w:pPr>
      <w:r>
        <w:rPr>
          <w:rFonts w:ascii="Noto Sans CJK SC" w:hAnsi="Noto Sans CJK SC" w:eastAsia="Noto Sans CJK SC"/>
          <w:b/>
          <w:color w:val="17365D"/>
          <w:sz w:val="18"/>
        </w:rPr>
        <w:t>基线</w:t>
      </w:r>
      <w:r>
        <w:rPr>
          <w:rFonts w:ascii="Noto Sans CJK SC" w:hAnsi="Noto Sans CJK SC" w:eastAsia="Noto Sans CJK SC"/>
          <w:sz w:val="18"/>
        </w:rPr>
        <w:t>：promoter k-mer、gene/TE距离、PlantCAD2、AgroNT、PlantCaduceus、Evo2、随机初始化。</w:t>
      </w:r>
    </w:p>
    <w:p>
      <w:pPr>
        <w:pStyle w:val="ListBullet"/>
      </w:pPr>
      <w:r>
        <w:rPr>
          <w:rFonts w:ascii="Noto Sans CJK SC" w:hAnsi="Noto Sans CJK SC" w:eastAsia="Noto Sans CJK SC"/>
          <w:b/>
          <w:color w:val="17365D"/>
          <w:sz w:val="18"/>
        </w:rPr>
        <w:t>难点</w:t>
      </w:r>
      <w:r>
        <w:rPr>
          <w:rFonts w:ascii="Noto Sans CJK SC" w:hAnsi="Noto Sans CJK SC" w:eastAsia="Noto Sans CJK SC"/>
          <w:sz w:val="18"/>
        </w:rPr>
        <w:t>：公共模型可分别编码两个基因，但没有配对关系预训练；短上下文也看不到远端TE和邻域差异。DNA-only不能解释瞬时环境响应，稳定偏倚和条件特异偏倚分层。</w:t>
      </w:r>
    </w:p>
    <w:p>
      <w:pPr>
        <w:pStyle w:val="Heading2"/>
      </w:pPr>
      <w:r>
        <w:t>B3 十字花科WGT后的保留与分馏（确认性）</w:t>
      </w:r>
    </w:p>
    <w:p>
      <w:pPr>
        <w:pStyle w:val="ListBullet"/>
      </w:pPr>
      <w:r>
        <w:rPr>
          <w:rFonts w:ascii="Noto Sans CJK SC" w:hAnsi="Noto Sans CJK SC" w:eastAsia="Noto Sans CJK SC"/>
          <w:b/>
          <w:color w:val="17365D"/>
          <w:sz w:val="18"/>
        </w:rPr>
        <w:t>标签</w:t>
      </w:r>
      <w:r>
        <w:rPr>
          <w:rFonts w:ascii="Noto Sans CJK SC" w:hAnsi="Noto Sans CJK SC" w:eastAsia="Noto Sans CJK SC"/>
          <w:sz w:val="18"/>
        </w:rPr>
        <w:t>：高可信syntenic block中的single/double/triple retention及fractionation；非共线家族扩张不当作同一标签。</w:t>
      </w:r>
    </w:p>
    <w:p>
      <w:pPr>
        <w:pStyle w:val="ListBullet"/>
      </w:pPr>
      <w:r>
        <w:rPr>
          <w:rFonts w:ascii="Noto Sans CJK SC" w:hAnsi="Noto Sans CJK SC" w:eastAsia="Noto Sans CJK SC"/>
          <w:b/>
          <w:color w:val="17365D"/>
          <w:sz w:val="18"/>
        </w:rPr>
        <w:t>输入</w:t>
      </w:r>
      <w:r>
        <w:rPr>
          <w:rFonts w:ascii="Noto Sans CJK SC" w:hAnsi="Noto Sans CJK SC" w:eastAsia="Noto Sans CJK SC"/>
          <w:sz w:val="18"/>
        </w:rPr>
        <w:t>：祖先/现存同源基因及64K邻域。</w:t>
      </w:r>
    </w:p>
    <w:p>
      <w:pPr>
        <w:pStyle w:val="ListBullet"/>
      </w:pPr>
      <w:r>
        <w:rPr>
          <w:rFonts w:ascii="Noto Sans CJK SC" w:hAnsi="Noto Sans CJK SC" w:eastAsia="Noto Sans CJK SC"/>
          <w:b/>
          <w:color w:val="17365D"/>
          <w:sz w:val="18"/>
        </w:rPr>
        <w:t>split</w:t>
      </w:r>
      <w:r>
        <w:rPr>
          <w:rFonts w:ascii="Noto Sans CJK SC" w:hAnsi="Noto Sans CJK SC" w:eastAsia="Noto Sans CJK SC"/>
          <w:sz w:val="18"/>
        </w:rPr>
        <w:t>：orthogroup+syntenic block；相邻block同组。</w:t>
      </w:r>
    </w:p>
    <w:p>
      <w:pPr>
        <w:pStyle w:val="ListBullet"/>
      </w:pPr>
      <w:r>
        <w:rPr>
          <w:rFonts w:ascii="Noto Sans CJK SC" w:hAnsi="Noto Sans CJK SC" w:eastAsia="Noto Sans CJK SC"/>
          <w:b/>
          <w:color w:val="17365D"/>
          <w:sz w:val="18"/>
        </w:rPr>
        <w:t>最低门槛</w:t>
      </w:r>
      <w:r>
        <w:rPr>
          <w:rFonts w:ascii="Noto Sans CJK SC" w:hAnsi="Noto Sans CJK SC" w:eastAsia="Noto Sans CJK SC"/>
          <w:sz w:val="18"/>
        </w:rPr>
        <w:t>：≥900 orthogroups、每类≥100独立test units、≥3个属。</w:t>
      </w:r>
    </w:p>
    <w:p>
      <w:pPr>
        <w:pStyle w:val="ListBullet"/>
      </w:pPr>
      <w:r>
        <w:rPr>
          <w:rFonts w:ascii="Noto Sans CJK SC" w:hAnsi="Noto Sans CJK SC" w:eastAsia="Noto Sans CJK SC"/>
          <w:b/>
          <w:color w:val="17365D"/>
          <w:sz w:val="18"/>
        </w:rPr>
        <w:t>主指标</w:t>
      </w:r>
      <w:r>
        <w:rPr>
          <w:rFonts w:ascii="Noto Sans CJK SC" w:hAnsi="Noto Sans CJK SC" w:eastAsia="Noto Sans CJK SC"/>
          <w:sz w:val="18"/>
        </w:rPr>
        <w:t>：macro-F1；per-class recall和跨属校准为辅。</w:t>
      </w:r>
    </w:p>
    <w:p>
      <w:pPr>
        <w:pStyle w:val="ListBullet"/>
      </w:pPr>
      <w:r>
        <w:rPr>
          <w:rFonts w:ascii="Noto Sans CJK SC" w:hAnsi="Noto Sans CJK SC" w:eastAsia="Noto Sans CJK SC"/>
          <w:b/>
          <w:color w:val="17365D"/>
          <w:sz w:val="18"/>
        </w:rPr>
        <w:t>基线</w:t>
      </w:r>
      <w:r>
        <w:rPr>
          <w:rFonts w:ascii="Noto Sans CJK SC" w:hAnsi="Noto Sans CJK SC" w:eastAsia="Noto Sans CJK SC"/>
          <w:sz w:val="18"/>
        </w:rPr>
        <w:t>：synteny统计、基因长度/表达/TE距离logistic、PlantCAD2、AgroNT、GPN、Evo2。</w:t>
      </w:r>
    </w:p>
    <w:p>
      <w:pPr>
        <w:pStyle w:val="ListBullet"/>
      </w:pPr>
      <w:r>
        <w:rPr>
          <w:rFonts w:ascii="Noto Sans CJK SC" w:hAnsi="Noto Sans CJK SC" w:eastAsia="Noto Sans CJK SC"/>
          <w:b/>
          <w:color w:val="17365D"/>
          <w:sz w:val="18"/>
        </w:rPr>
        <w:t>专属性</w:t>
      </w:r>
      <w:r>
        <w:rPr>
          <w:rFonts w:ascii="Noto Sans CJK SC" w:hAnsi="Noto Sans CJK SC" w:eastAsia="Noto Sans CJK SC"/>
          <w:sz w:val="18"/>
        </w:rPr>
        <w:t>：这是十字花科深层复制历史与局部DNA环境的联合任务，不是普通promoter分类。</w:t>
      </w:r>
    </w:p>
    <w:p>
      <w:pPr>
        <w:pStyle w:val="Heading2"/>
      </w:pPr>
      <w:r>
        <w:t>B4 Homeologous exchange与gene conversion（探索性，数据充分后升级）</w:t>
      </w:r>
    </w:p>
    <w:p>
      <w:r>
        <w:rPr>
          <w:rFonts w:ascii="Noto Sans CJK SC" w:hAnsi="Noto Sans CJK SC" w:eastAsia="Noto Sans CJK SC"/>
          <w:b/>
          <w:color w:val="17365D"/>
          <w:sz w:val="19"/>
        </w:rPr>
        <w:t>输入</w:t>
      </w:r>
      <w:r>
        <w:rPr>
          <w:rFonts w:ascii="Noto Sans CJK SC" w:hAnsi="Noto Sans CJK SC" w:eastAsia="Noto Sans CJK SC"/>
          <w:sz w:val="19"/>
        </w:rPr>
        <w:t>：断点两侧32K/64K/128K及祖先参考pair。</w:t>
      </w:r>
      <w:r>
        <w:rPr>
          <w:rFonts w:ascii="Noto Sans CJK SC" w:hAnsi="Noto Sans CJK SC" w:eastAsia="Noto Sans CJK SC"/>
          <w:b/>
          <w:color w:val="17365D"/>
          <w:sz w:val="19"/>
        </w:rPr>
        <w:t>标签</w:t>
      </w:r>
      <w:r>
        <w:rPr>
          <w:rFonts w:ascii="Noto Sans CJK SC" w:hAnsi="Noto Sans CJK SC" w:eastAsia="Noto Sans CJK SC"/>
          <w:sz w:val="19"/>
        </w:rPr>
        <w:t>：长读长/图泛基因组、coverage和独立比对共同支持的事件。</w:t>
      </w:r>
      <w:r>
        <w:rPr>
          <w:rFonts w:ascii="Noto Sans CJK SC" w:hAnsi="Noto Sans CJK SC" w:eastAsia="Noto Sans CJK SC"/>
          <w:b/>
          <w:color w:val="17365D"/>
          <w:sz w:val="19"/>
        </w:rPr>
        <w:t>split</w:t>
      </w:r>
      <w:r>
        <w:rPr>
          <w:rFonts w:ascii="Noto Sans CJK SC" w:hAnsi="Noto Sans CJK SC" w:eastAsia="Noto Sans CJK SC"/>
          <w:sz w:val="19"/>
        </w:rPr>
        <w:t>：cultivar×event cluster×chromosome block。</w:t>
      </w:r>
      <w:r>
        <w:rPr>
          <w:rFonts w:ascii="Noto Sans CJK SC" w:hAnsi="Noto Sans CJK SC" w:eastAsia="Noto Sans CJK SC"/>
          <w:b/>
          <w:color w:val="17365D"/>
          <w:sz w:val="19"/>
        </w:rPr>
        <w:t>负例</w:t>
      </w:r>
      <w:r>
        <w:rPr>
          <w:rFonts w:ascii="Noto Sans CJK SC" w:hAnsi="Noto Sans CJK SC" w:eastAsia="Noto Sans CJK SC"/>
          <w:sz w:val="19"/>
        </w:rPr>
        <w:t>：普通高相似homeolog、组装gap和非交换SV。</w:t>
      </w:r>
      <w:r>
        <w:rPr>
          <w:rFonts w:ascii="Noto Sans CJK SC" w:hAnsi="Noto Sans CJK SC" w:eastAsia="Noto Sans CJK SC"/>
          <w:b/>
          <w:color w:val="17365D"/>
          <w:sz w:val="19"/>
        </w:rPr>
        <w:t>指标</w:t>
      </w:r>
      <w:r>
        <w:rPr>
          <w:rFonts w:ascii="Noto Sans CJK SC" w:hAnsi="Noto Sans CJK SC" w:eastAsia="Noto Sans CJK SC"/>
          <w:sz w:val="19"/>
        </w:rPr>
        <w:t>：event AUPRC、breakpoint F1、来源macro-F1。</w:t>
      </w:r>
      <w:r>
        <w:rPr>
          <w:rFonts w:ascii="Noto Sans CJK SC" w:hAnsi="Noto Sans CJK SC" w:eastAsia="Noto Sans CJK SC"/>
          <w:b/>
          <w:color w:val="17365D"/>
          <w:sz w:val="19"/>
        </w:rPr>
        <w:t>最低升级门槛</w:t>
      </w:r>
      <w:r>
        <w:rPr>
          <w:rFonts w:ascii="Noto Sans CJK SC" w:hAnsi="Noto Sans CJK SC" w:eastAsia="Noto Sans CJK SC"/>
          <w:sz w:val="19"/>
        </w:rPr>
        <w:t>：≥300高可信事件、≥50 events/class和≥6 cultivars。短模型无法在一次forward内同时看到远端双侧证据；Evo2是关键长模型对照。该任务只能称候选识别，不能替代细胞遗传验证。</w:t>
      </w:r>
    </w:p>
    <w:p>
      <w:pPr>
        <w:pStyle w:val="Heading2"/>
      </w:pPr>
      <w:r>
        <w:t>B5 S-locus自交不亲和（确认性、旗舰任务）</w:t>
      </w:r>
    </w:p>
    <w:p>
      <w:pPr>
        <w:pStyle w:val="ListBullet"/>
      </w:pPr>
      <w:r>
        <w:rPr>
          <w:rFonts w:ascii="Noto Sans CJK SC" w:hAnsi="Noto Sans CJK SC" w:eastAsia="Noto Sans CJK SC"/>
          <w:b/>
          <w:color w:val="17365D"/>
          <w:sz w:val="18"/>
        </w:rPr>
        <w:t>输入</w:t>
      </w:r>
      <w:r>
        <w:rPr>
          <w:rFonts w:ascii="Noto Sans CJK SC" w:hAnsi="Noto Sans CJK SC" w:eastAsia="Noto Sans CJK SC"/>
          <w:sz w:val="18"/>
        </w:rPr>
        <w:t>：SRK/SCR及完整S-locus邻域，最高128K。</w:t>
      </w:r>
    </w:p>
    <w:p>
      <w:pPr>
        <w:pStyle w:val="ListBullet"/>
      </w:pPr>
      <w:r>
        <w:rPr>
          <w:rFonts w:ascii="Noto Sans CJK SC" w:hAnsi="Noto Sans CJK SC" w:eastAsia="Noto Sans CJK SC"/>
          <w:b/>
          <w:color w:val="17365D"/>
          <w:sz w:val="18"/>
        </w:rPr>
        <w:t>标签来源</w:t>
      </w:r>
      <w:r>
        <w:rPr>
          <w:rFonts w:ascii="Noto Sans CJK SC" w:hAnsi="Noto Sans CJK SC" w:eastAsia="Noto Sans CJK SC"/>
          <w:sz w:val="18"/>
        </w:rPr>
        <w:t>：核验S-haplotype、dominance class、已发表兼容/不兼容杂交结果；普通序列相似不等于功能标签。</w:t>
      </w:r>
    </w:p>
    <w:p>
      <w:pPr>
        <w:pStyle w:val="ListBullet"/>
      </w:pPr>
      <w:r>
        <w:rPr>
          <w:rFonts w:ascii="Noto Sans CJK SC" w:hAnsi="Noto Sans CJK SC" w:eastAsia="Noto Sans CJK SC"/>
          <w:b/>
          <w:color w:val="17365D"/>
          <w:sz w:val="18"/>
        </w:rPr>
        <w:t>split</w:t>
      </w:r>
      <w:r>
        <w:rPr>
          <w:rFonts w:ascii="Noto Sans CJK SC" w:hAnsi="Noto Sans CJK SC" w:eastAsia="Noto Sans CJK SC"/>
          <w:sz w:val="18"/>
        </w:rPr>
        <w:t>：S-haplotype clan+accession cluster；近等位序列不得跨split。</w:t>
      </w:r>
    </w:p>
    <w:p>
      <w:pPr>
        <w:pStyle w:val="ListBullet"/>
      </w:pPr>
      <w:r>
        <w:rPr>
          <w:rFonts w:ascii="Noto Sans CJK SC" w:hAnsi="Noto Sans CJK SC" w:eastAsia="Noto Sans CJK SC"/>
          <w:b/>
          <w:color w:val="17365D"/>
          <w:sz w:val="18"/>
        </w:rPr>
        <w:t>最低门槛</w:t>
      </w:r>
      <w:r>
        <w:rPr>
          <w:rFonts w:ascii="Noto Sans CJK SC" w:hAnsi="Noto Sans CJK SC" w:eastAsia="Noto Sans CJK SC"/>
          <w:sz w:val="18"/>
        </w:rPr>
        <w:t>：总计≥100 accessions、≥30 haplotype clans；sealed test≥10未见clans和≥500独立compatibility pairs。</w:t>
      </w:r>
    </w:p>
    <w:p>
      <w:pPr>
        <w:pStyle w:val="ListBullet"/>
      </w:pPr>
      <w:r>
        <w:rPr>
          <w:rFonts w:ascii="Noto Sans CJK SC" w:hAnsi="Noto Sans CJK SC" w:eastAsia="Noto Sans CJK SC"/>
          <w:b/>
          <w:color w:val="17365D"/>
          <w:sz w:val="18"/>
        </w:rPr>
        <w:t>任务</w:t>
      </w:r>
      <w:r>
        <w:rPr>
          <w:rFonts w:ascii="Noto Sans CJK SC" w:hAnsi="Noto Sans CJK SC" w:eastAsia="Noto Sans CJK SC"/>
          <w:sz w:val="18"/>
        </w:rPr>
        <w:t>：clan retrieval、功能/优势类、pair compatibility。</w:t>
      </w:r>
    </w:p>
    <w:p>
      <w:pPr>
        <w:pStyle w:val="ListBullet"/>
      </w:pPr>
      <w:r>
        <w:rPr>
          <w:rFonts w:ascii="Noto Sans CJK SC" w:hAnsi="Noto Sans CJK SC" w:eastAsia="Noto Sans CJK SC"/>
          <w:b/>
          <w:color w:val="17365D"/>
          <w:sz w:val="18"/>
        </w:rPr>
        <w:t>主指标</w:t>
      </w:r>
      <w:r>
        <w:rPr>
          <w:rFonts w:ascii="Noto Sans CJK SC" w:hAnsi="Noto Sans CJK SC" w:eastAsia="Noto Sans CJK SC"/>
          <w:sz w:val="18"/>
        </w:rPr>
        <w:t>：未见clan retrieval MRR；分类/compatibility为secondary。</w:t>
      </w:r>
    </w:p>
    <w:p>
      <w:pPr>
        <w:pStyle w:val="ListBullet"/>
      </w:pPr>
      <w:r>
        <w:rPr>
          <w:rFonts w:ascii="Noto Sans CJK SC" w:hAnsi="Noto Sans CJK SC" w:eastAsia="Noto Sans CJK SC"/>
          <w:b/>
          <w:color w:val="17365D"/>
          <w:sz w:val="18"/>
        </w:rPr>
        <w:t>基线</w:t>
      </w:r>
      <w:r>
        <w:rPr>
          <w:rFonts w:ascii="Noto Sans CJK SC" w:hAnsi="Noto Sans CJK SC" w:eastAsia="Noto Sans CJK SC"/>
          <w:sz w:val="18"/>
        </w:rPr>
        <w:t>：BLAST/haplotype规则、k-mer、PlantCAD2、AgroNT、PlantCaduceus、GPN、Evo2。</w:t>
      </w:r>
    </w:p>
    <w:p>
      <w:pPr>
        <w:pStyle w:val="ListBullet"/>
      </w:pPr>
      <w:r>
        <w:rPr>
          <w:rFonts w:ascii="Noto Sans CJK SC" w:hAnsi="Noto Sans CJK SC" w:eastAsia="Noto Sans CJK SC"/>
          <w:b/>
          <w:color w:val="17365D"/>
          <w:sz w:val="18"/>
        </w:rPr>
        <w:t>为什么重要</w:t>
      </w:r>
      <w:r>
        <w:rPr>
          <w:rFonts w:ascii="Noto Sans CJK SC" w:hAnsi="Noto Sans CJK SC" w:eastAsia="Noto Sans CJK SC"/>
          <w:sz w:val="18"/>
        </w:rPr>
        <w:t>：S-locus高度多态且长程连锁，8K/6K模型通常只能看到局部；本模型必须用完整长区域和未见clan证明不是记忆。</w:t>
      </w:r>
    </w:p>
    <w:p>
      <w:pPr>
        <w:pStyle w:val="Heading2"/>
      </w:pPr>
      <w:r>
        <w:t>B6 春化、开花和生态适应等位变异（探索性）</w:t>
      </w:r>
    </w:p>
    <w:p>
      <w:r>
        <w:rPr>
          <w:rFonts w:ascii="Noto Sans CJK SC" w:hAnsi="Noto Sans CJK SC" w:eastAsia="Noto Sans CJK SC"/>
          <w:sz w:val="19"/>
        </w:rPr>
        <w:t>围绕FLC、FRI、FT、SOC1、VIN3及扩增拷贝，但不把任务限制为已知基因。输入为ref/alt 64K/128K；标签来自多环境flowering time、vernalization response、功能验证和fine-mapping。split按relatedness cluster×study×environment×主效haplotype。主要指标variant AUPRC、top-k causal recall和表型Spearman。若DIRECT positives少于100或独立study少于3，保持探索性。环境变量只能进扩展榜。</w:t>
      </w:r>
    </w:p>
    <w:p>
      <w:pPr>
        <w:pStyle w:val="Heading2"/>
      </w:pPr>
      <w:r>
        <w:t>B7 硫代葡萄糖苷与油用品质（确认性）</w:t>
      </w:r>
    </w:p>
    <w:p>
      <w:pPr>
        <w:pStyle w:val="ListBullet"/>
      </w:pPr>
      <w:r>
        <w:rPr>
          <w:rFonts w:ascii="Noto Sans CJK SC" w:hAnsi="Noto Sans CJK SC" w:eastAsia="Noto Sans CJK SC"/>
          <w:b/>
          <w:color w:val="17365D"/>
          <w:sz w:val="18"/>
        </w:rPr>
        <w:t>对象</w:t>
      </w:r>
      <w:r>
        <w:rPr>
          <w:rFonts w:ascii="Noto Sans CJK SC" w:hAnsi="Noto Sans CJK SC" w:eastAsia="Noto Sans CJK SC"/>
          <w:sz w:val="18"/>
        </w:rPr>
        <w:t>：glucosinolate通路及油菜油酸、芥酸、蛋白含量等品质调控。</w:t>
      </w:r>
    </w:p>
    <w:p>
      <w:pPr>
        <w:pStyle w:val="ListBullet"/>
      </w:pPr>
      <w:r>
        <w:rPr>
          <w:rFonts w:ascii="Noto Sans CJK SC" w:hAnsi="Noto Sans CJK SC" w:eastAsia="Noto Sans CJK SC"/>
          <w:b/>
          <w:color w:val="17365D"/>
          <w:sz w:val="18"/>
        </w:rPr>
        <w:t>输入</w:t>
      </w:r>
      <w:r>
        <w:rPr>
          <w:rFonts w:ascii="Noto Sans CJK SC" w:hAnsi="Noto Sans CJK SC" w:eastAsia="Noto Sans CJK SC"/>
          <w:sz w:val="18"/>
        </w:rPr>
        <w:t>：候选基因/变异周围4K–128K。</w:t>
      </w:r>
    </w:p>
    <w:p>
      <w:pPr>
        <w:pStyle w:val="ListBullet"/>
      </w:pPr>
      <w:r>
        <w:rPr>
          <w:rFonts w:ascii="Noto Sans CJK SC" w:hAnsi="Noto Sans CJK SC" w:eastAsia="Noto Sans CJK SC"/>
          <w:b/>
          <w:color w:val="17365D"/>
          <w:sz w:val="18"/>
        </w:rPr>
        <w:t>标签</w:t>
      </w:r>
      <w:r>
        <w:rPr>
          <w:rFonts w:ascii="Noto Sans CJK SC" w:hAnsi="Noto Sans CJK SC" w:eastAsia="Noto Sans CJK SC"/>
          <w:sz w:val="18"/>
        </w:rPr>
        <w:t>：功能验证、代谢QTL/GWAS fine-mapping和稳定haplotype效应；普通GWAS峰只作proxy。</w:t>
      </w:r>
    </w:p>
    <w:p>
      <w:pPr>
        <w:pStyle w:val="ListBullet"/>
      </w:pPr>
      <w:r>
        <w:rPr>
          <w:rFonts w:ascii="Noto Sans CJK SC" w:hAnsi="Noto Sans CJK SC" w:eastAsia="Noto Sans CJK SC"/>
          <w:b/>
          <w:color w:val="17365D"/>
          <w:sz w:val="18"/>
        </w:rPr>
        <w:t>split</w:t>
      </w:r>
      <w:r>
        <w:rPr>
          <w:rFonts w:ascii="Noto Sans CJK SC" w:hAnsi="Noto Sans CJK SC" w:eastAsia="Noto Sans CJK SC"/>
          <w:sz w:val="18"/>
        </w:rPr>
        <w:t>：gene family×LD block×cultivar×study。</w:t>
      </w:r>
    </w:p>
    <w:p>
      <w:pPr>
        <w:pStyle w:val="ListBullet"/>
      </w:pPr>
      <w:r>
        <w:rPr>
          <w:rFonts w:ascii="Noto Sans CJK SC" w:hAnsi="Noto Sans CJK SC" w:eastAsia="Noto Sans CJK SC"/>
          <w:b/>
          <w:color w:val="17365D"/>
          <w:sz w:val="18"/>
        </w:rPr>
        <w:t>最低门槛</w:t>
      </w:r>
      <w:r>
        <w:rPr>
          <w:rFonts w:ascii="Noto Sans CJK SC" w:hAnsi="Noto Sans CJK SC" w:eastAsia="Noto Sans CJK SC"/>
          <w:sz w:val="18"/>
        </w:rPr>
        <w:t>：≥100 DIRECT/STRONG causal positives、≥300匹配负例、≥3研究和≥3性状家族。</w:t>
      </w:r>
    </w:p>
    <w:p>
      <w:pPr>
        <w:pStyle w:val="ListBullet"/>
      </w:pPr>
      <w:r>
        <w:rPr>
          <w:rFonts w:ascii="Noto Sans CJK SC" w:hAnsi="Noto Sans CJK SC" w:eastAsia="Noto Sans CJK SC"/>
          <w:b/>
          <w:color w:val="17365D"/>
          <w:sz w:val="18"/>
        </w:rPr>
        <w:t>主指标</w:t>
      </w:r>
      <w:r>
        <w:rPr>
          <w:rFonts w:ascii="Noto Sans CJK SC" w:hAnsi="Noto Sans CJK SC" w:eastAsia="Noto Sans CJK SC"/>
          <w:sz w:val="18"/>
        </w:rPr>
        <w:t>：matched causal-variant AUPRC；top-1% recall、效应方向和代谢Spearman为辅。</w:t>
      </w:r>
    </w:p>
    <w:p>
      <w:pPr>
        <w:pStyle w:val="ListBullet"/>
      </w:pPr>
      <w:r>
        <w:rPr>
          <w:rFonts w:ascii="Noto Sans CJK SC" w:hAnsi="Noto Sans CJK SC" w:eastAsia="Noto Sans CJK SC"/>
          <w:b/>
          <w:color w:val="17365D"/>
          <w:sz w:val="18"/>
        </w:rPr>
        <w:t>基线</w:t>
      </w:r>
      <w:r>
        <w:rPr>
          <w:rFonts w:ascii="Noto Sans CJK SC" w:hAnsi="Noto Sans CJK SC" w:eastAsia="Noto Sans CJK SC"/>
          <w:sz w:val="18"/>
        </w:rPr>
        <w:t>：通路/注释规则、GWAS后验、GPN、PlantCAD2、AgroNT、PlantCaduceus、Evo2。</w:t>
      </w:r>
    </w:p>
    <w:p>
      <w:pPr>
        <w:pStyle w:val="ListBullet"/>
      </w:pPr>
      <w:r>
        <w:rPr>
          <w:rFonts w:ascii="Noto Sans CJK SC" w:hAnsi="Noto Sans CJK SC" w:eastAsia="Noto Sans CJK SC"/>
          <w:b/>
          <w:color w:val="17365D"/>
          <w:sz w:val="18"/>
        </w:rPr>
        <w:t>专属性</w:t>
      </w:r>
      <w:r>
        <w:rPr>
          <w:rFonts w:ascii="Noto Sans CJK SC" w:hAnsi="Noto Sans CJK SC" w:eastAsia="Noto Sans CJK SC"/>
          <w:sz w:val="18"/>
        </w:rPr>
        <w:t>：把十字花科特色代谢的基因家族、局部变异和长程簇环境连起来，而不是泛化的“功能变异”标签。</w:t>
      </w:r>
    </w:p>
    <w:p>
      <w:pPr>
        <w:pStyle w:val="Heading2"/>
      </w:pPr>
      <w:r>
        <w:t>B8 NLR簇与clubroot/blackleg抗性（确认性）</w:t>
      </w:r>
    </w:p>
    <w:p>
      <w:pPr>
        <w:pStyle w:val="ListBullet"/>
      </w:pPr>
      <w:r>
        <w:rPr>
          <w:rFonts w:ascii="Noto Sans CJK SC" w:hAnsi="Noto Sans CJK SC" w:eastAsia="Noto Sans CJK SC"/>
          <w:b/>
          <w:color w:val="17365D"/>
          <w:sz w:val="18"/>
        </w:rPr>
        <w:t>输入</w:t>
      </w:r>
      <w:r>
        <w:rPr>
          <w:rFonts w:ascii="Noto Sans CJK SC" w:hAnsi="Noto Sans CJK SC" w:eastAsia="Noto Sans CJK SC"/>
          <w:sz w:val="18"/>
        </w:rPr>
        <w:t>：NLR gene、presence/absence或ref/alt，加最长128K邻域。</w:t>
      </w:r>
    </w:p>
    <w:p>
      <w:pPr>
        <w:pStyle w:val="ListBullet"/>
      </w:pPr>
      <w:r>
        <w:rPr>
          <w:rFonts w:ascii="Noto Sans CJK SC" w:hAnsi="Noto Sans CJK SC" w:eastAsia="Noto Sans CJK SC"/>
          <w:b/>
          <w:color w:val="17365D"/>
          <w:sz w:val="18"/>
        </w:rPr>
        <w:t>标签</w:t>
      </w:r>
      <w:r>
        <w:rPr>
          <w:rFonts w:ascii="Noto Sans CJK SC" w:hAnsi="Noto Sans CJK SC" w:eastAsia="Noto Sans CJK SC"/>
          <w:sz w:val="18"/>
        </w:rPr>
        <w:t>：独立病原接种、图位克隆/功能验证和pathotype-specific resistance；QTL-only单列proxy。</w:t>
      </w:r>
    </w:p>
    <w:p>
      <w:pPr>
        <w:pStyle w:val="ListBullet"/>
      </w:pPr>
      <w:r>
        <w:rPr>
          <w:rFonts w:ascii="Noto Sans CJK SC" w:hAnsi="Noto Sans CJK SC" w:eastAsia="Noto Sans CJK SC"/>
          <w:b/>
          <w:color w:val="17365D"/>
          <w:sz w:val="18"/>
        </w:rPr>
        <w:t>split</w:t>
      </w:r>
      <w:r>
        <w:rPr>
          <w:rFonts w:ascii="Noto Sans CJK SC" w:hAnsi="Noto Sans CJK SC" w:eastAsia="Noto Sans CJK SC"/>
          <w:sz w:val="18"/>
        </w:rPr>
        <w:t>：NLR orthogroup×resistance locus×pathotype×study。</w:t>
      </w:r>
    </w:p>
    <w:p>
      <w:pPr>
        <w:pStyle w:val="ListBullet"/>
      </w:pPr>
      <w:r>
        <w:rPr>
          <w:rFonts w:ascii="Noto Sans CJK SC" w:hAnsi="Noto Sans CJK SC" w:eastAsia="Noto Sans CJK SC"/>
          <w:b/>
          <w:color w:val="17365D"/>
          <w:sz w:val="18"/>
        </w:rPr>
        <w:t>hard negative</w:t>
      </w:r>
      <w:r>
        <w:rPr>
          <w:rFonts w:ascii="Noto Sans CJK SC" w:hAnsi="Noto Sans CJK SC" w:eastAsia="Noto Sans CJK SC"/>
          <w:sz w:val="18"/>
        </w:rPr>
        <w:t>：同簇未证实NLR、失活拷贝和结构域相似非抗性基因。</w:t>
      </w:r>
    </w:p>
    <w:p>
      <w:pPr>
        <w:pStyle w:val="ListBullet"/>
      </w:pPr>
      <w:r>
        <w:rPr>
          <w:rFonts w:ascii="Noto Sans CJK SC" w:hAnsi="Noto Sans CJK SC" w:eastAsia="Noto Sans CJK SC"/>
          <w:b/>
          <w:color w:val="17365D"/>
          <w:sz w:val="18"/>
        </w:rPr>
        <w:t>最低门槛</w:t>
      </w:r>
      <w:r>
        <w:rPr>
          <w:rFonts w:ascii="Noto Sans CJK SC" w:hAnsi="Noto Sans CJK SC" w:eastAsia="Noto Sans CJK SC"/>
          <w:sz w:val="18"/>
        </w:rPr>
        <w:t>：≥100阳性locus-haplotype-pathotype units、≥30独立test loci、≥3 pathotypes和≥3 studies。</w:t>
      </w:r>
    </w:p>
    <w:p>
      <w:pPr>
        <w:pStyle w:val="ListBullet"/>
      </w:pPr>
      <w:r>
        <w:rPr>
          <w:rFonts w:ascii="Noto Sans CJK SC" w:hAnsi="Noto Sans CJK SC" w:eastAsia="Noto Sans CJK SC"/>
          <w:b/>
          <w:color w:val="17365D"/>
          <w:sz w:val="18"/>
        </w:rPr>
        <w:t>主指标</w:t>
      </w:r>
      <w:r>
        <w:rPr>
          <w:rFonts w:ascii="Noto Sans CJK SC" w:hAnsi="Noto Sans CJK SC" w:eastAsia="Noto Sans CJK SC"/>
          <w:sz w:val="18"/>
        </w:rPr>
        <w:t>：pathotype/study-held-out AUPRC；macro-F1和top-k candidate recall为辅。</w:t>
      </w:r>
    </w:p>
    <w:p>
      <w:pPr>
        <w:pStyle w:val="ListBullet"/>
      </w:pPr>
      <w:r>
        <w:rPr>
          <w:rFonts w:ascii="Noto Sans CJK SC" w:hAnsi="Noto Sans CJK SC" w:eastAsia="Noto Sans CJK SC"/>
          <w:b/>
          <w:color w:val="17365D"/>
          <w:sz w:val="18"/>
        </w:rPr>
        <w:t>基线</w:t>
      </w:r>
      <w:r>
        <w:rPr>
          <w:rFonts w:ascii="Noto Sans CJK SC" w:hAnsi="Noto Sans CJK SC" w:eastAsia="Noto Sans CJK SC"/>
          <w:sz w:val="18"/>
        </w:rPr>
        <w:t>：NLR-Annotator、结构域/BLAST规则、PlantCAD2、AgroNT、PlantCaduceus、GPN、Evo2。</w:t>
      </w:r>
    </w:p>
    <w:p>
      <w:pPr>
        <w:pStyle w:val="ListBullet"/>
      </w:pPr>
      <w:r>
        <w:rPr>
          <w:rFonts w:ascii="Noto Sans CJK SC" w:hAnsi="Noto Sans CJK SC" w:eastAsia="Noto Sans CJK SC"/>
          <w:b/>
          <w:color w:val="17365D"/>
          <w:sz w:val="18"/>
        </w:rPr>
        <w:t>专属性</w:t>
      </w:r>
      <w:r>
        <w:rPr>
          <w:rFonts w:ascii="Noto Sans CJK SC" w:hAnsi="Noto Sans CJK SC" w:eastAsia="Noto Sans CJK SC"/>
          <w:sz w:val="18"/>
        </w:rPr>
        <w:t>：复杂NLR簇、PAV和TE背景需要单碱基+长程；模型排序仍不等于发现新抗病基因。</w:t>
      </w:r>
    </w:p>
    <w:p>
      <w:pPr>
        <w:pStyle w:val="Heading2"/>
      </w:pPr>
      <w:r>
        <w:t>B9 PAV/SV/TE调控与表型影响（确认性）</w:t>
      </w:r>
    </w:p>
    <w:p>
      <w:pPr>
        <w:pStyle w:val="ListBullet"/>
      </w:pPr>
      <w:r>
        <w:rPr>
          <w:rFonts w:ascii="Noto Sans CJK SC" w:hAnsi="Noto Sans CJK SC" w:eastAsia="Noto Sans CJK SC"/>
          <w:b/>
          <w:color w:val="17365D"/>
          <w:sz w:val="18"/>
        </w:rPr>
        <w:t>输入</w:t>
      </w:r>
      <w:r>
        <w:rPr>
          <w:rFonts w:ascii="Noto Sans CJK SC" w:hAnsi="Noto Sans CJK SC" w:eastAsia="Noto Sans CJK SC"/>
          <w:sz w:val="18"/>
        </w:rPr>
        <w:t>：断点双侧、插入序列、ref/alt path及128K邻域。</w:t>
      </w:r>
    </w:p>
    <w:p>
      <w:pPr>
        <w:pStyle w:val="ListBullet"/>
      </w:pPr>
      <w:r>
        <w:rPr>
          <w:rFonts w:ascii="Noto Sans CJK SC" w:hAnsi="Noto Sans CJK SC" w:eastAsia="Noto Sans CJK SC"/>
          <w:b/>
          <w:color w:val="17365D"/>
          <w:sz w:val="18"/>
        </w:rPr>
        <w:t>标签</w:t>
      </w:r>
      <w:r>
        <w:rPr>
          <w:rFonts w:ascii="Noto Sans CJK SC" w:hAnsi="Noto Sans CJK SC" w:eastAsia="Noto Sans CJK SC"/>
          <w:sz w:val="18"/>
        </w:rPr>
        <w:t>：高质量pangenome graph事件；event type、breakpoint和regulatory/phenotypic impact分层。</w:t>
      </w:r>
    </w:p>
    <w:p>
      <w:pPr>
        <w:pStyle w:val="ListBullet"/>
      </w:pPr>
      <w:r>
        <w:rPr>
          <w:rFonts w:ascii="Noto Sans CJK SC" w:hAnsi="Noto Sans CJK SC" w:eastAsia="Noto Sans CJK SC"/>
          <w:b/>
          <w:color w:val="17365D"/>
          <w:sz w:val="18"/>
        </w:rPr>
        <w:t>split</w:t>
      </w:r>
      <w:r>
        <w:rPr>
          <w:rFonts w:ascii="Noto Sans CJK SC" w:hAnsi="Noto Sans CJK SC" w:eastAsia="Noto Sans CJK SC"/>
          <w:sz w:val="18"/>
        </w:rPr>
        <w:t>：SV cluster×accession×graph component×chromosome block。</w:t>
      </w:r>
    </w:p>
    <w:p>
      <w:pPr>
        <w:pStyle w:val="ListBullet"/>
      </w:pPr>
      <w:r>
        <w:rPr>
          <w:rFonts w:ascii="Noto Sans CJK SC" w:hAnsi="Noto Sans CJK SC" w:eastAsia="Noto Sans CJK SC"/>
          <w:b/>
          <w:color w:val="17365D"/>
          <w:sz w:val="18"/>
        </w:rPr>
        <w:t>最低门槛</w:t>
      </w:r>
      <w:r>
        <w:rPr>
          <w:rFonts w:ascii="Noto Sans CJK SC" w:hAnsi="Noto Sans CJK SC" w:eastAsia="Noto Sans CJK SC"/>
          <w:sz w:val="18"/>
        </w:rPr>
        <w:t>：≥300具有DIRECT/STRONG impact标签的事件，主要impact类别各≥50，≥3独立pangenome/study来源。</w:t>
      </w:r>
    </w:p>
    <w:p>
      <w:pPr>
        <w:pStyle w:val="ListBullet"/>
      </w:pPr>
      <w:r>
        <w:rPr>
          <w:rFonts w:ascii="Noto Sans CJK SC" w:hAnsi="Noto Sans CJK SC" w:eastAsia="Noto Sans CJK SC"/>
          <w:b/>
          <w:color w:val="17365D"/>
          <w:sz w:val="18"/>
        </w:rPr>
        <w:t>主指标</w:t>
      </w:r>
      <w:r>
        <w:rPr>
          <w:rFonts w:ascii="Noto Sans CJK SC" w:hAnsi="Noto Sans CJK SC" w:eastAsia="Noto Sans CJK SC"/>
          <w:sz w:val="18"/>
        </w:rPr>
        <w:t>：event-level impact macro-F1；event type AUPRC、breakpoint F1和效应Spearman为secondary。</w:t>
      </w:r>
    </w:p>
    <w:p>
      <w:pPr>
        <w:pStyle w:val="ListBullet"/>
      </w:pPr>
      <w:r>
        <w:rPr>
          <w:rFonts w:ascii="Noto Sans CJK SC" w:hAnsi="Noto Sans CJK SC" w:eastAsia="Noto Sans CJK SC"/>
          <w:b/>
          <w:color w:val="17365D"/>
          <w:sz w:val="18"/>
        </w:rPr>
        <w:t>基线</w:t>
      </w:r>
      <w:r>
        <w:rPr>
          <w:rFonts w:ascii="Noto Sans CJK SC" w:hAnsi="Noto Sans CJK SC" w:eastAsia="Noto Sans CJK SC"/>
          <w:sz w:val="18"/>
        </w:rPr>
        <w:t>：SV/TE专家注释、alignment/coverage、PlantCAD2、Caduceus/HyenaDNA、PlantCaduceus、Evo2。</w:t>
      </w:r>
    </w:p>
    <w:p>
      <w:pPr>
        <w:pStyle w:val="ListBullet"/>
      </w:pPr>
      <w:r>
        <w:rPr>
          <w:rFonts w:ascii="Noto Sans CJK SC" w:hAnsi="Noto Sans CJK SC" w:eastAsia="Noto Sans CJK SC"/>
          <w:b/>
          <w:color w:val="17365D"/>
          <w:sz w:val="18"/>
        </w:rPr>
        <w:t>专属性</w:t>
      </w:r>
      <w:r>
        <w:rPr>
          <w:rFonts w:ascii="Noto Sans CJK SC" w:hAnsi="Noto Sans CJK SC" w:eastAsia="Noto Sans CJK SC"/>
          <w:sz w:val="18"/>
        </w:rPr>
        <w:t>：检验模型是否真正使用插入、TE和远端基因环境；只预测SV类型不等于预测影响。</w:t>
      </w:r>
    </w:p>
    <w:p>
      <w:pPr>
        <w:pStyle w:val="Heading2"/>
      </w:pPr>
      <w:r>
        <w:t>B10 驯化、改良与适应变异（探索性）</w:t>
      </w:r>
    </w:p>
    <w:p>
      <w:r>
        <w:rPr>
          <w:rFonts w:ascii="Noto Sans CJK SC" w:hAnsi="Noto Sans CJK SC" w:eastAsia="Noto Sans CJK SC"/>
          <w:sz w:val="19"/>
        </w:rPr>
        <w:t>输入64K/128K SNP/indel上下文；标签按功能验证、fine-mapping、GWAS和选择扫描分层，选择扫描不能冒充因果。split为population×LD block×trait study×chromosome。比较GWAS posterior、选择统计、phyloP、GPN/GPN-MSA、PlantCAD2、AgroNT和Evo2。只有≥200强阳性、≥3群体和≥3研究后才升级确认性。</w:t>
      </w:r>
    </w:p>
    <w:p>
      <w:pPr>
        <w:pStyle w:val="Heading2"/>
      </w:pPr>
      <w:r>
        <w:t>B11 十字花科基因簇边界与协同调控（探索性）</w:t>
      </w:r>
    </w:p>
    <w:p>
      <w:r>
        <w:rPr>
          <w:rFonts w:ascii="Noto Sans CJK SC" w:hAnsi="Noto Sans CJK SC" w:eastAsia="Noto Sans CJK SC"/>
          <w:sz w:val="19"/>
        </w:rPr>
        <w:t>对象是glucosinolate、NLR、次生代谢及串联复制簇；输入32K–128K；标签为共线保守block、共表达模块、实验调控和结构边界；split按整个cluster family。任务是boundary segmentation、成员功能和pair co-regulation。升级门槛为≥100独立簇、≥3属、≥30 held-out cluster families。PlantCAD2/AgroNT参与局部比较，Evo2参与完整长程比较。</w:t>
      </w:r>
    </w:p>
    <w:p>
      <w:pPr>
        <w:pStyle w:val="Heading2"/>
      </w:pPr>
      <w:r>
        <w:t>B12 十字花科跨属低样本迁移（确认性）</w:t>
      </w:r>
    </w:p>
    <w:p>
      <w:pPr>
        <w:pStyle w:val="ListBullet"/>
      </w:pPr>
      <w:r>
        <w:rPr>
          <w:rFonts w:ascii="Noto Sans CJK SC" w:hAnsi="Noto Sans CJK SC" w:eastAsia="Noto Sans CJK SC"/>
          <w:b/>
          <w:color w:val="17365D"/>
          <w:sz w:val="18"/>
        </w:rPr>
        <w:t>任务集合</w:t>
      </w:r>
      <w:r>
        <w:rPr>
          <w:rFonts w:ascii="Noto Sans CJK SC" w:hAnsi="Noto Sans CJK SC" w:eastAsia="Noto Sans CJK SC"/>
          <w:sz w:val="18"/>
        </w:rPr>
        <w:t>：结构边界、region、promoter/TE、NLR和表达中至少3个家族。</w:t>
      </w:r>
    </w:p>
    <w:p>
      <w:pPr>
        <w:pStyle w:val="ListBullet"/>
      </w:pPr>
      <w:r>
        <w:rPr>
          <w:rFonts w:ascii="Noto Sans CJK SC" w:hAnsi="Noto Sans CJK SC" w:eastAsia="Noto Sans CJK SC"/>
          <w:b/>
          <w:color w:val="17365D"/>
          <w:sz w:val="18"/>
        </w:rPr>
        <w:t>目标属</w:t>
      </w:r>
      <w:r>
        <w:rPr>
          <w:rFonts w:ascii="Noto Sans CJK SC" w:hAnsi="Noto Sans CJK SC" w:eastAsia="Noto Sans CJK SC"/>
          <w:sz w:val="18"/>
        </w:rPr>
        <w:t>：至少3个未见或标签未见属，如Brassica、Camelina、Cardamine；实际名单在taxonomy和标签审计后冻结。</w:t>
      </w:r>
    </w:p>
    <w:p>
      <w:pPr>
        <w:pStyle w:val="ListBullet"/>
      </w:pPr>
      <w:r>
        <w:rPr>
          <w:rFonts w:ascii="Noto Sans CJK SC" w:hAnsi="Noto Sans CJK SC" w:eastAsia="Noto Sans CJK SC"/>
          <w:b/>
          <w:color w:val="17365D"/>
          <w:sz w:val="18"/>
        </w:rPr>
        <w:t>标签预算</w:t>
      </w:r>
      <w:r>
        <w:rPr>
          <w:rFonts w:ascii="Noto Sans CJK SC" w:hAnsi="Noto Sans CJK SC" w:eastAsia="Noto Sans CJK SC"/>
          <w:sz w:val="18"/>
        </w:rPr>
        <w:t>：1%、5%、10%是primary学习曲线；100%只作上限，不进入primary sample-efficiency AUC。</w:t>
      </w:r>
    </w:p>
    <w:p>
      <w:pPr>
        <w:pStyle w:val="ListBullet"/>
      </w:pPr>
      <w:r>
        <w:rPr>
          <w:rFonts w:ascii="Noto Sans CJK SC" w:hAnsi="Noto Sans CJK SC" w:eastAsia="Noto Sans CJK SC"/>
          <w:b/>
          <w:color w:val="17365D"/>
          <w:sz w:val="18"/>
        </w:rPr>
        <w:t>split</w:t>
      </w:r>
      <w:r>
        <w:rPr>
          <w:rFonts w:ascii="Noto Sans CJK SC" w:hAnsi="Noto Sans CJK SC" w:eastAsia="Noto Sans CJK SC"/>
          <w:sz w:val="18"/>
        </w:rPr>
        <w:t>：目标test永不进入任务训练，orthogroup和assembly cluster隔离；label-transfer与true-genus-holdout分表。</w:t>
      </w:r>
    </w:p>
    <w:p>
      <w:pPr>
        <w:pStyle w:val="ListBullet"/>
      </w:pPr>
      <w:r>
        <w:rPr>
          <w:rFonts w:ascii="Noto Sans CJK SC" w:hAnsi="Noto Sans CJK SC" w:eastAsia="Noto Sans CJK SC"/>
          <w:b/>
          <w:color w:val="17365D"/>
          <w:sz w:val="18"/>
        </w:rPr>
        <w:t>最低门槛</w:t>
      </w:r>
      <w:r>
        <w:rPr>
          <w:rFonts w:ascii="Noto Sans CJK SC" w:hAnsi="Noto Sans CJK SC" w:eastAsia="Noto Sans CJK SC"/>
          <w:sz w:val="18"/>
        </w:rPr>
        <w:t>：每个目标属×任务的固定test≥500独立单位且每个主要类别≥50；三个预算使用nested train subset。</w:t>
      </w:r>
    </w:p>
    <w:p>
      <w:pPr>
        <w:pStyle w:val="ListBullet"/>
      </w:pPr>
      <w:r>
        <w:rPr>
          <w:rFonts w:ascii="Noto Sans CJK SC" w:hAnsi="Noto Sans CJK SC" w:eastAsia="Noto Sans CJK SC"/>
          <w:b/>
          <w:color w:val="17365D"/>
          <w:sz w:val="18"/>
        </w:rPr>
        <w:t>主指标</w:t>
      </w:r>
      <w:r>
        <w:rPr>
          <w:rFonts w:ascii="Noto Sans CJK SC" w:hAnsi="Noto Sans CJK SC" w:eastAsia="Noto Sans CJK SC"/>
          <w:sz w:val="18"/>
        </w:rPr>
        <w:t>：1%/5%/10%主指标的macro sample-efficiency AUC。</w:t>
      </w:r>
    </w:p>
    <w:p>
      <w:pPr>
        <w:pStyle w:val="ListBullet"/>
      </w:pPr>
      <w:r>
        <w:rPr>
          <w:rFonts w:ascii="Noto Sans CJK SC" w:hAnsi="Noto Sans CJK SC" w:eastAsia="Noto Sans CJK SC"/>
          <w:b/>
          <w:color w:val="17365D"/>
          <w:sz w:val="18"/>
        </w:rPr>
        <w:t>基线</w:t>
      </w:r>
      <w:r>
        <w:rPr>
          <w:rFonts w:ascii="Noto Sans CJK SC" w:hAnsi="Noto Sans CJK SC" w:eastAsia="Noto Sans CJK SC"/>
          <w:sz w:val="18"/>
        </w:rPr>
        <w:t>：PlantCAD2-M/L、AgroNT、PlantCaduceus、GPN适用任务、NT-v2、DNABERT-2、Caduceus和随机初始化。</w:t>
      </w:r>
    </w:p>
    <w:p>
      <w:pPr>
        <w:pStyle w:val="ListBullet"/>
      </w:pPr>
      <w:r>
        <w:rPr>
          <w:rFonts w:ascii="Noto Sans CJK SC" w:hAnsi="Noto Sans CJK SC" w:eastAsia="Noto Sans CJK SC"/>
          <w:b/>
          <w:color w:val="17365D"/>
          <w:sz w:val="18"/>
        </w:rPr>
        <w:t>意义</w:t>
      </w:r>
      <w:r>
        <w:rPr>
          <w:rFonts w:ascii="Noto Sans CJK SC" w:hAnsi="Noto Sans CJK SC" w:eastAsia="Noto Sans CJK SC"/>
          <w:sz w:val="18"/>
        </w:rPr>
        <w:t>：回答专属预训练是否真正减少新十字花科物种的标注需求。</w:t>
      </w:r>
    </w:p>
    <w:p>
      <w:pPr>
        <w:pStyle w:val="Heading1"/>
      </w:pPr>
      <w:r>
        <w:t>11. 基线重跑与统计合同</w:t>
      </w:r>
    </w:p>
    <w:p>
      <w:pPr>
        <w:pStyle w:val="Heading2"/>
      </w:pPr>
      <w:r>
        <w:t>11.1 必跑基线层级</w:t>
      </w:r>
    </w:p>
    <w:p>
      <w:r>
        <w:rPr>
          <w:rFonts w:ascii="Noto Sans CJK SC" w:hAnsi="Noto Sans CJK SC" w:eastAsia="Noto Sans CJK SC"/>
          <w:b/>
          <w:color w:val="17365D"/>
          <w:sz w:val="19"/>
        </w:rPr>
        <w:t>植物核心</w:t>
      </w:r>
      <w:r>
        <w:rPr>
          <w:rFonts w:ascii="Noto Sans CJK SC" w:hAnsi="Noto Sans CJK SC" w:eastAsia="Noto Sans CJK SC"/>
          <w:sz w:val="19"/>
        </w:rPr>
        <w:t>：AgroNT-1B、PlantCAD2-M、PlantCAD2-L、PlantCaduceus-l32、GPN-Brassicales。</w:t>
      </w:r>
    </w:p>
    <w:p>
      <w:r>
        <w:rPr>
          <w:rFonts w:ascii="Noto Sans CJK SC" w:hAnsi="Noto Sans CJK SC" w:eastAsia="Noto Sans CJK SC"/>
          <w:b/>
          <w:color w:val="17365D"/>
          <w:sz w:val="19"/>
        </w:rPr>
        <w:t>通用核心</w:t>
      </w:r>
      <w:r>
        <w:rPr>
          <w:rFonts w:ascii="Noto Sans CJK SC" w:hAnsi="Noto Sans CJK SC" w:eastAsia="Noto Sans CJK SC"/>
          <w:sz w:val="19"/>
        </w:rPr>
        <w:t>：NT-v2-500M、DNABERT-2、Caduceus、HyenaDNA；Evo2-7B用于zero-shot和长程能力，Evo2-1B-base用于8K可执行对照。</w:t>
      </w:r>
    </w:p>
    <w:p>
      <w:r>
        <w:rPr>
          <w:rFonts w:ascii="Noto Sans CJK SC" w:hAnsi="Noto Sans CJK SC" w:eastAsia="Noto Sans CJK SC"/>
          <w:b/>
          <w:color w:val="17365D"/>
          <w:sz w:val="19"/>
        </w:rPr>
        <w:t>任务专家</w:t>
      </w:r>
      <w:r>
        <w:rPr>
          <w:rFonts w:ascii="Noto Sans CJK SC" w:hAnsi="Noto Sans CJK SC" w:eastAsia="Noto Sans CJK SC"/>
          <w:sz w:val="19"/>
        </w:rPr>
        <w:t>：AUGUSTUS/Helixer/GeMoMa、SpliceAI式模型、NLR-Annotator、BLAST/MMseqs2+synteny、phyloP/phastCons、SV/pangenome流程、Enformer/Borzoi/3D专家。</w:t>
      </w:r>
    </w:p>
    <w:p>
      <w:r>
        <w:rPr>
          <w:rFonts w:ascii="Noto Sans CJK SC" w:hAnsi="Noto Sans CJK SC" w:eastAsia="Noto Sans CJK SC"/>
          <w:b/>
          <w:color w:val="17365D"/>
          <w:sz w:val="19"/>
        </w:rPr>
        <w:t>简单基线</w:t>
      </w:r>
      <w:r>
        <w:rPr>
          <w:rFonts w:ascii="Noto Sans CJK SC" w:hAnsi="Noto Sans CJK SC" w:eastAsia="Noto Sans CJK SC"/>
          <w:sz w:val="19"/>
        </w:rPr>
        <w:t>：prevalence、GC/length/repeat logistic、k-mer TF-IDF、XGBoost、one-hot CNN、随机初始化本架构。</w:t>
      </w:r>
    </w:p>
    <w:p>
      <w:pPr>
        <w:pStyle w:val="Heading2"/>
      </w:pPr>
      <w:r>
        <w:t>11.2 同等下游预算</w:t>
      </w:r>
    </w:p>
    <w:p>
      <w:r>
        <w:rPr>
          <w:rFonts w:ascii="Noto Sans CJK SC" w:hAnsi="Noto Sans CJK SC" w:eastAsia="Noto Sans CJK SC"/>
          <w:sz w:val="19"/>
        </w:rPr>
        <w:t>每个可训练协议使用五个下游seed。首先冻结骨干+线性probe；其次PEFT，按可训练参数量而不是LoRA rank机械匹配，目标±10%；只有所有主要模型都能执行且数据充足时做full fine-tuning。相同最大optimizer steps、early stopping、train-only标准化和development选择。不能给本模型大head、给公共模型线性head。</w:t>
      </w:r>
    </w:p>
    <w:p>
      <w:r>
        <w:rPr>
          <w:rFonts w:ascii="Noto Sans CJK SC" w:hAnsi="Noto Sans CJK SC" w:eastAsia="Noto Sans CJK SC"/>
          <w:sz w:val="19"/>
        </w:rPr>
        <w:t>取消本模型预训练token上限不等于可以忽略计算公平性。所有基础模型结果必须并列报告其公开或实测的pretraining processed tokens、FLOPs、参数量、上下文和数据域；对本模型另外保存按</w:t>
      </w:r>
      <w:r>
        <w:rPr>
          <w:rFonts w:ascii="Liberation Mono" w:hAnsi="Liberation Mono" w:eastAsia="Liberation Mono"/>
          <w:color w:val="7A3E00"/>
          <w:sz w:val="18"/>
        </w:rPr>
        <w:t>scheduled_sampling_tokens</w:t>
      </w:r>
      <w:r>
        <w:rPr>
          <w:rFonts w:ascii="Noto Sans CJK SC" w:hAnsi="Noto Sans CJK SC" w:eastAsia="Noto Sans CJK SC"/>
          <w:sz w:val="19"/>
        </w:rPr>
        <w:t>或FLOPs对齐的中间checkpoint，用于compute-matched辅助轨道。最终WSD winner用于实际系统能力轨道，但若其计算量更大，不能把优势表述成样本效率或同计算预算优势。</w:t>
      </w:r>
    </w:p>
    <w:p>
      <w:pPr>
        <w:pStyle w:val="Heading2"/>
      </w:pPr>
      <w:r>
        <w:t>11.3 上下文公平性</w:t>
      </w:r>
    </w:p>
    <w:p>
      <w:r>
        <w:rPr>
          <w:rFonts w:ascii="Noto Sans CJK SC" w:hAnsi="Noto Sans CJK SC" w:eastAsia="Noto Sans CJK SC"/>
          <w:sz w:val="19"/>
        </w:rPr>
        <w:t>每个结果表必须写实际输入长度。AgroNT约6.1 kb、PlantCAD2 8,192 bp、PlantCaduceus/GPN 512 bp、NT-v2理论约12.3 kb、Evo2可到1M。本模型专属长程任务分别报告：</w:t>
      </w:r>
    </w:p>
    <w:p>
      <w:pPr>
        <w:pStyle w:val="ListNumber"/>
      </w:pPr>
      <w:r>
        <w:rPr>
          <w:rFonts w:ascii="Noto Sans CJK SC" w:hAnsi="Noto Sans CJK SC" w:eastAsia="Noto Sans CJK SC"/>
          <w:sz w:val="18"/>
        </w:rPr>
        <w:t>所有可比较模型的官方/native长度；</w:t>
      </w:r>
    </w:p>
    <w:p>
      <w:pPr>
        <w:pStyle w:val="ListNumber"/>
      </w:pPr>
      <w:r>
        <w:rPr>
          <w:rFonts w:ascii="Noto Sans CJK SC" w:hAnsi="Noto Sans CJK SC" w:eastAsia="Noto Sans CJK SC"/>
          <w:sz w:val="18"/>
        </w:rPr>
        <w:t>本模型8K context-matched结果；</w:t>
      </w:r>
    </w:p>
    <w:p>
      <w:pPr>
        <w:pStyle w:val="ListNumber"/>
      </w:pPr>
      <w:r>
        <w:rPr>
          <w:rFonts w:ascii="Noto Sans CJK SC" w:hAnsi="Noto Sans CJK SC" w:eastAsia="Noto Sans CJK SC"/>
          <w:sz w:val="18"/>
        </w:rPr>
        <w:t>本模型32K/64K/128K能力结果；</w:t>
      </w:r>
    </w:p>
    <w:p>
      <w:pPr>
        <w:pStyle w:val="ListNumber"/>
      </w:pPr>
      <w:r>
        <w:rPr>
          <w:rFonts w:ascii="Noto Sans CJK SC" w:hAnsi="Noto Sans CJK SC" w:eastAsia="Noto Sans CJK SC"/>
          <w:sz w:val="18"/>
        </w:rPr>
        <w:t>只改变本模型上下文的消融。</w:t>
      </w:r>
    </w:p>
    <w:p>
      <w:r>
        <w:rPr>
          <w:rFonts w:ascii="Noto Sans CJK SC" w:hAnsi="Noto Sans CJK SC" w:eastAsia="Noto Sans CJK SC"/>
          <w:sz w:val="19"/>
        </w:rPr>
        <w:t>短模型中心裁剪不是“模型运行失败”，但不能声称它看到了裁剪外的证据；Evo2必须作为真正长上下文对照，防止把长度优势误说成十字花科知识。</w:t>
      </w:r>
    </w:p>
    <w:p>
      <w:pPr>
        <w:pStyle w:val="Heading2"/>
      </w:pPr>
      <w:r>
        <w:t>11.4 统计</w:t>
      </w:r>
    </w:p>
    <w:p>
      <w:r>
        <w:rPr>
          <w:rFonts w:ascii="Noto Sans CJK SC" w:hAnsi="Noto Sans CJK SC" w:eastAsia="Noto Sans CJK SC"/>
          <w:sz w:val="19"/>
        </w:rPr>
        <w:t>置信区间按最高层独立生物单位cluster bootstrap，seed方差单独报告。每个bootstrap replicate中先取公共基线最大分数，再计算本模型相对</w:t>
      </w:r>
      <w:r>
        <w:rPr>
          <w:rFonts w:ascii="Liberation Mono" w:hAnsi="Liberation Mono" w:eastAsia="Liberation Mono"/>
          <w:color w:val="7A3E00"/>
          <w:sz w:val="18"/>
        </w:rPr>
        <w:t>max(public)</w:t>
      </w:r>
      <w:r>
        <w:rPr>
          <w:rFonts w:ascii="Noto Sans CJK SC" w:hAnsi="Noto Sans CJK SC" w:eastAsia="Noto Sans CJK SC"/>
          <w:sz w:val="19"/>
        </w:rPr>
        <w:t>的paired差；p值用同一单位的paired permutation/randomization test。</w:t>
      </w:r>
    </w:p>
    <w:p>
      <w:r>
        <w:rPr>
          <w:rFonts w:ascii="Noto Sans CJK SC" w:hAnsi="Noto Sans CJK SC" w:eastAsia="Noto Sans CJK SC"/>
          <w:sz w:val="19"/>
        </w:rPr>
        <w:t xml:space="preserve">十个确认性家族包含11个primary hypotheses：P3和P4各一个，其余P7、B1、B2、B3、B5、B7、B8、B9、B12各一个；11个p值统一Holm校正。只有平均效应达到train-only冻结的MMED、95% CI下界&gt;0且Holm-adjusted </w:t>
      </w:r>
      <w:r>
        <w:rPr>
          <w:rFonts w:ascii="Liberation Mono" w:hAnsi="Liberation Mono" w:eastAsia="Liberation Mono"/>
          <w:color w:val="7A3E00"/>
          <w:sz w:val="18"/>
        </w:rPr>
        <w:t>p&lt;0.05</w:t>
      </w:r>
      <w:r>
        <w:rPr>
          <w:rFonts w:ascii="Noto Sans CJK SC" w:hAnsi="Noto Sans CJK SC" w:eastAsia="Noto Sans CJK SC"/>
          <w:sz w:val="19"/>
        </w:rPr>
        <w:t>才通过。缺失基线、seed不完整、样本不足或CI不可算都算未通过，不从分母删除。</w:t>
      </w:r>
    </w:p>
    <w:p>
      <w:pPr>
        <w:pStyle w:val="Heading2"/>
      </w:pPr>
      <w:r>
        <w:t>11.5 Foundation model成功标准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公共任务不能系统退化；对PGB和PlantCAD2兼容任务，应在大多数任务上达到预注册非劣界限，并完整报告未达到项。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十个确认性家族至少七个通过；P3/P4结构、B1 U三角和B5 S-locus必须通过；B7/B8/B9至少两个通过。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必须超过随机初始化，并有结构监督、homeolog目标和128K机制一致的消融。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任一split泄漏、test反复查看或post-hoc更换primary endpoint都会使相关claim失效。</w:t>
      </w:r>
    </w:p>
    <w:p>
      <w:r>
        <w:rPr>
          <w:rFonts w:ascii="Noto Sans CJK SC" w:hAnsi="Noto Sans CJK SC" w:eastAsia="Noto Sans CJK SC"/>
          <w:sz w:val="19"/>
        </w:rPr>
        <w:t>如果不满足，只能表述为“构建并系统评估了十字花科预训练模型”，不能改任务或重复test挽救结论。</w:t>
      </w:r>
    </w:p>
    <w:p>
      <w:pPr>
        <w:sectPr>
          <w:pgSz w:w="11906" w:h="16838"/>
          <w:pgMar w:top="879" w:right="992" w:bottom="822" w:left="992" w:header="369" w:footer="369" w:gutter="0"/>
          <w:cols w:space="720"/>
          <w:titlePg/>
          <w:docGrid w:linePitch="360"/>
        </w:sectPr>
      </w:pPr>
    </w:p>
    <w:p>
      <w:pPr>
        <w:pStyle w:val="Heading1"/>
        <w:pageBreakBefore w:val="0"/>
      </w:pPr>
      <w:r>
        <w:t>12. 为什么这些专属任务可能让公共模型表现差</w:t>
      </w:r>
    </w:p>
    <w:p>
      <w:r>
        <w:rPr>
          <w:rFonts w:ascii="Noto Sans CJK SC" w:hAnsi="Noto Sans CJK SC" w:eastAsia="Noto Sans CJK SC"/>
          <w:sz w:val="19"/>
        </w:rPr>
        <w:t>表中“缺口”是可检验机制，不是预定结论。尤其Evo 2的上下文比本模型更长；如果本模型在S-locus或SV上超过Evo2，更合理的解释应是领域语料、双向MLM和十字花科关系目标的组合，而不是长度。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32"/>
        <w:gridCol w:w="2532"/>
        <w:gridCol w:w="2532"/>
        <w:gridCol w:w="2532"/>
        <w:gridCol w:w="2532"/>
        <w:gridCol w:w="2532"/>
      </w:tblGrid>
      <w:tr>
        <w:trPr>
          <w:cantSplit/>
          <w:tblHeader w:val="true"/>
        </w:trPr>
        <w:tc>
          <w:tcPr>
            <w:tcW w:type="dxa" w:w="25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能力缺口</w:t>
            </w:r>
          </w:p>
        </w:tc>
        <w:tc>
          <w:tcPr>
            <w:tcW w:type="dxa" w:w="25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AgroNT</w:t>
            </w:r>
          </w:p>
        </w:tc>
        <w:tc>
          <w:tcPr>
            <w:tcW w:type="dxa" w:w="25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PlantCAD2</w:t>
            </w:r>
          </w:p>
        </w:tc>
        <w:tc>
          <w:tcPr>
            <w:tcW w:type="dxa" w:w="25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NT-v2-500M</w:t>
            </w:r>
          </w:p>
        </w:tc>
        <w:tc>
          <w:tcPr>
            <w:tcW w:type="dxa" w:w="25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Evo2-7B</w:t>
            </w:r>
          </w:p>
        </w:tc>
        <w:tc>
          <w:tcPr>
            <w:tcW w:type="dxa" w:w="25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本模型设计的针对性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单碱基边界/变异</w:t>
            </w:r>
          </w:p>
        </w:tc>
        <w:tc>
          <w:tcPr>
            <w:tcW w:type="dxa" w:w="25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6-mer不直接对齐单碱基</w:t>
            </w:r>
          </w:p>
        </w:tc>
        <w:tc>
          <w:tcPr>
            <w:tcW w:type="dxa" w:w="25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支持</w:t>
            </w:r>
          </w:p>
        </w:tc>
        <w:tc>
          <w:tcPr>
            <w:tcW w:type="dxa" w:w="25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6-mer</w:t>
            </w:r>
          </w:p>
        </w:tc>
        <w:tc>
          <w:tcPr>
            <w:tcW w:type="dxa" w:w="25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支持</w:t>
            </w:r>
          </w:p>
        </w:tc>
        <w:tc>
          <w:tcPr>
            <w:tcW w:type="dxa" w:w="25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单碱基+boundary/frame监督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&gt;8K双侧上下文</w:t>
            </w:r>
          </w:p>
        </w:tc>
        <w:tc>
          <w:tcPr>
            <w:tcW w:type="dxa" w:w="25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约6K</w:t>
            </w:r>
          </w:p>
        </w:tc>
        <w:tc>
          <w:tcPr>
            <w:tcW w:type="dxa" w:w="25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8K</w:t>
            </w:r>
          </w:p>
        </w:tc>
        <w:tc>
          <w:tcPr>
            <w:tcW w:type="dxa" w:w="25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约12K</w:t>
            </w:r>
          </w:p>
        </w:tc>
        <w:tc>
          <w:tcPr>
            <w:tcW w:type="dxa" w:w="25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可到1M</w:t>
            </w:r>
          </w:p>
        </w:tc>
        <w:tc>
          <w:tcPr>
            <w:tcW w:type="dxa" w:w="25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最高128K双向；Evo2仍是强对照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十字花科全基因组非基因区</w:t>
            </w:r>
          </w:p>
        </w:tc>
        <w:tc>
          <w:tcPr>
            <w:tcW w:type="dxa" w:w="25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48种植物全基因组片段</w:t>
            </w:r>
          </w:p>
        </w:tc>
        <w:tc>
          <w:tcPr>
            <w:tcW w:type="dxa" w:w="25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65种被子植物，但以gene±5kb窗口为主</w:t>
            </w:r>
          </w:p>
        </w:tc>
        <w:tc>
          <w:tcPr>
            <w:tcW w:type="dxa" w:w="25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无植物</w:t>
            </w:r>
          </w:p>
        </w:tc>
        <w:tc>
          <w:tcPr>
            <w:tcW w:type="dxa" w:w="25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全生命域含植物</w:t>
            </w:r>
          </w:p>
        </w:tc>
        <w:tc>
          <w:tcPr>
            <w:tcW w:type="dxa" w:w="25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Brassicaceae全核基因组、TE/intergenic分层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U三角和homeolog pair</w:t>
            </w:r>
          </w:p>
        </w:tc>
        <w:tc>
          <w:tcPr>
            <w:tcW w:type="dxa" w:w="25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无显式目标</w:t>
            </w:r>
          </w:p>
        </w:tc>
        <w:tc>
          <w:tcPr>
            <w:tcW w:type="dxa" w:w="25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无显式目标</w:t>
            </w:r>
          </w:p>
        </w:tc>
        <w:tc>
          <w:tcPr>
            <w:tcW w:type="dxa" w:w="25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无</w:t>
            </w:r>
          </w:p>
        </w:tc>
        <w:tc>
          <w:tcPr>
            <w:tcW w:type="dxa" w:w="25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无</w:t>
            </w:r>
          </w:p>
        </w:tc>
        <w:tc>
          <w:tcPr>
            <w:tcW w:type="dxa" w:w="25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共线pair InfoNCE+edge-disjoint训练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WGT保留/分馏</w:t>
            </w:r>
          </w:p>
        </w:tc>
        <w:tc>
          <w:tcPr>
            <w:tcW w:type="dxa" w:w="25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无</w:t>
            </w:r>
          </w:p>
        </w:tc>
        <w:tc>
          <w:tcPr>
            <w:tcW w:type="dxa" w:w="25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无</w:t>
            </w:r>
          </w:p>
        </w:tc>
        <w:tc>
          <w:tcPr>
            <w:tcW w:type="dxa" w:w="25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无</w:t>
            </w:r>
          </w:p>
        </w:tc>
        <w:tc>
          <w:tcPr>
            <w:tcW w:type="dxa" w:w="25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无</w:t>
            </w:r>
          </w:p>
        </w:tc>
        <w:tc>
          <w:tcPr>
            <w:tcW w:type="dxa" w:w="25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十字花科orthogroup/block标签与专属任务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S-locus/NLR/基因簇完整区域</w:t>
            </w:r>
          </w:p>
        </w:tc>
        <w:tc>
          <w:tcPr>
            <w:tcW w:type="dxa" w:w="25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context不足</w:t>
            </w:r>
          </w:p>
        </w:tc>
        <w:tc>
          <w:tcPr>
            <w:tcW w:type="dxa" w:w="25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context不足</w:t>
            </w:r>
          </w:p>
        </w:tc>
        <w:tc>
          <w:tcPr>
            <w:tcW w:type="dxa" w:w="25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多数不足</w:t>
            </w:r>
          </w:p>
        </w:tc>
        <w:tc>
          <w:tcPr>
            <w:tcW w:type="dxa" w:w="25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可见完整区域但不专属</w:t>
            </w:r>
          </w:p>
        </w:tc>
        <w:tc>
          <w:tcPr>
            <w:tcW w:type="dxa" w:w="25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128K+家族专属数据；必须与Evo2比较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多倍体表达偏倚</w:t>
            </w:r>
          </w:p>
        </w:tc>
        <w:tc>
          <w:tcPr>
            <w:tcW w:type="dxa" w:w="25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一般表达任务</w:t>
            </w:r>
          </w:p>
        </w:tc>
        <w:tc>
          <w:tcPr>
            <w:tcW w:type="dxa" w:w="25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一般跨物种表达</w:t>
            </w:r>
          </w:p>
        </w:tc>
        <w:tc>
          <w:tcPr>
            <w:tcW w:type="dxa" w:w="25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非植物</w:t>
            </w:r>
          </w:p>
        </w:tc>
        <w:tc>
          <w:tcPr>
            <w:tcW w:type="dxa" w:w="25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通用LM</w:t>
            </w:r>
          </w:p>
        </w:tc>
        <w:tc>
          <w:tcPr>
            <w:tcW w:type="dxa" w:w="25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成对homeolog输入、专属split和DNA-only/条件榜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低样本十字花科迁移</w:t>
            </w:r>
          </w:p>
        </w:tc>
        <w:tc>
          <w:tcPr>
            <w:tcW w:type="dxa" w:w="25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植物广义先验</w:t>
            </w:r>
          </w:p>
        </w:tc>
        <w:tc>
          <w:tcPr>
            <w:tcW w:type="dxa" w:w="25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被子植物广义先验</w:t>
            </w:r>
          </w:p>
        </w:tc>
        <w:tc>
          <w:tcPr>
            <w:tcW w:type="dxa" w:w="25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无植物先验</w:t>
            </w:r>
          </w:p>
        </w:tc>
        <w:tc>
          <w:tcPr>
            <w:tcW w:type="dxa" w:w="25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广义生命先验</w:t>
            </w:r>
          </w:p>
        </w:tc>
        <w:tc>
          <w:tcPr>
            <w:tcW w:type="dxa" w:w="25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领域深度与关系监督，靠nested学习曲线检验</w:t>
            </w:r>
          </w:p>
        </w:tc>
      </w:tr>
    </w:tbl>
    <w:p>
      <w:pPr>
        <w:sectPr>
          <w:pgSz w:w="16838" w:h="11906" w:orient="landscape"/>
          <w:pgMar w:top="879" w:right="822" w:bottom="822" w:left="822" w:header="369" w:footer="369" w:gutter="0"/>
          <w:cols w:space="720"/>
          <w:titlePg/>
          <w:docGrid w:linePitch="360"/>
        </w:sectPr>
      </w:pPr>
    </w:p>
    <w:p>
      <w:pPr>
        <w:pStyle w:val="Heading1"/>
        <w:pageBreakBefore w:val="0"/>
      </w:pPr>
      <w:r>
        <w:t>13. 从现在到论文的执行顺序</w:t>
      </w:r>
    </w:p>
    <w:p>
      <w:pPr>
        <w:pStyle w:val="ListNumber"/>
      </w:pPr>
      <w:r>
        <w:rPr>
          <w:rFonts w:ascii="Noto Sans CJK SC" w:hAnsi="Noto Sans CJK SC" w:eastAsia="Noto Sans CJK SC"/>
          <w:sz w:val="18"/>
        </w:rPr>
        <w:t>冻结task registry、11个primary endpoints、独立单位、最低门槛和test身份hash。</w:t>
      </w:r>
    </w:p>
    <w:p>
      <w:pPr>
        <w:pStyle w:val="ListNumber"/>
      </w:pPr>
      <w:r>
        <w:rPr>
          <w:rFonts w:ascii="Noto Sans CJK SC" w:hAnsi="Noto Sans CJK SC" w:eastAsia="Noto Sans CJK SC"/>
          <w:sz w:val="18"/>
        </w:rPr>
        <w:t>重新解析广义植物池的taxonomy、来源、版本和checksum，得到新的Brassicaceae候选清单。</w:t>
      </w:r>
    </w:p>
    <w:p>
      <w:pPr>
        <w:pStyle w:val="ListNumber"/>
      </w:pPr>
      <w:r>
        <w:rPr>
          <w:rFonts w:ascii="Noto Sans CJK SC" w:hAnsi="Noto Sans CJK SC" w:eastAsia="Noto Sans CJK SC"/>
          <w:sz w:val="18"/>
        </w:rPr>
        <w:t>Assembly/contig QC、exact/RC exact、ANI近重复和污染审计。</w:t>
      </w:r>
    </w:p>
    <w:p>
      <w:pPr>
        <w:pStyle w:val="ListNumber"/>
      </w:pPr>
      <w:r>
        <w:rPr>
          <w:rFonts w:ascii="Noto Sans CJK SC" w:hAnsi="Noto Sans CJK SC" w:eastAsia="Noto Sans CJK SC"/>
          <w:sz w:val="18"/>
        </w:rPr>
        <w:t>构建orthogroup、synteny、homeolog、LD、haplotype和SV不可拆分组件。</w:t>
      </w:r>
    </w:p>
    <w:p>
      <w:pPr>
        <w:pStyle w:val="ListNumber"/>
      </w:pPr>
      <w:r>
        <w:rPr>
          <w:rFonts w:ascii="Noto Sans CJK SC" w:hAnsi="Noto Sans CJK SC" w:eastAsia="Noto Sans CJK SC"/>
          <w:sz w:val="18"/>
        </w:rPr>
        <w:t>根据下游test hash先做131,071 bp halo排除，再冻结预训练90/5/5 split。</w:t>
      </w:r>
    </w:p>
    <w:p>
      <w:pPr>
        <w:pStyle w:val="ListNumber"/>
      </w:pPr>
      <w:r>
        <w:rPr>
          <w:rFonts w:ascii="Noto Sans CJK SC" w:hAnsi="Noto Sans CJK SC" w:eastAsia="Noto Sans CJK SC"/>
          <w:sz w:val="18"/>
        </w:rPr>
        <w:t>构建sequence、structure、TE和pair store；生成真实六长度容量与混杂报告。</w:t>
      </w:r>
    </w:p>
    <w:p>
      <w:pPr>
        <w:pStyle w:val="ListNumber"/>
      </w:pPr>
      <w:r>
        <w:rPr>
          <w:rFonts w:ascii="Noto Sans CJK SC" w:hAnsi="Noto Sans CJK SC" w:eastAsia="Noto Sans CJK SC"/>
          <w:sz w:val="18"/>
        </w:rPr>
        <w:t>冻结各pool的coverage-cycle排列、跨cycle受控复用/deficit规则、长期context比例和首轮unique容量；表4.6只作10,000步参考记账。</w:t>
      </w:r>
    </w:p>
    <w:p>
      <w:pPr>
        <w:pStyle w:val="ListNumber"/>
      </w:pPr>
      <w:r>
        <w:rPr>
          <w:rFonts w:ascii="Noto Sans CJK SC" w:hAnsi="Noto Sans CJK SC" w:eastAsia="Noto Sans CJK SC"/>
          <w:sz w:val="18"/>
        </w:rPr>
        <w:t>完成331,661,083参数实现、单元测试、DDP全局分母和原子checkpoint。</w:t>
      </w:r>
    </w:p>
    <w:p>
      <w:pPr>
        <w:pStyle w:val="ListNumber"/>
      </w:pPr>
      <w:r>
        <w:rPr>
          <w:rFonts w:ascii="Noto Sans CJK SC" w:hAnsi="Noto Sans CJK SC" w:eastAsia="Noto Sans CJK SC"/>
          <w:sz w:val="18"/>
        </w:rPr>
        <w:t>在独立acceptance pool完成100个连续128K steps和五种其他长度各10 steps。</w:t>
      </w:r>
    </w:p>
    <w:p>
      <w:pPr>
        <w:pStyle w:val="ListNumber"/>
      </w:pPr>
      <w:r>
        <w:rPr>
          <w:rFonts w:ascii="Noto Sans CJK SC" w:hAnsi="Noto Sans CJK SC" w:eastAsia="Noto Sans CJK SC"/>
          <w:sz w:val="18"/>
        </w:rPr>
        <w:t>启动无预定总token/step上限的唯一正式run；只用冻结development规则触发WSD decay，并按fixed development MLM NLL选winner。</w:t>
      </w:r>
    </w:p>
    <w:p>
      <w:pPr>
        <w:pStyle w:val="ListNumber"/>
      </w:pPr>
      <w:r>
        <w:rPr>
          <w:rFonts w:ascii="Noto Sans CJK SC" w:hAnsi="Noto Sans CJK SC" w:eastAsia="Noto Sans CJK SC"/>
          <w:sz w:val="18"/>
        </w:rPr>
        <w:t>Winner、head、seed和baseline revision全部冻结后，执行公共任务和五seed下游。</w:t>
      </w:r>
    </w:p>
    <w:p>
      <w:pPr>
        <w:pStyle w:val="ListNumber"/>
      </w:pPr>
      <w:r>
        <w:rPr>
          <w:rFonts w:ascii="Noto Sans CJK SC" w:hAnsi="Noto Sans CJK SC" w:eastAsia="Noto Sans CJK SC"/>
          <w:sz w:val="18"/>
        </w:rPr>
        <w:t>一次读取sealed pretraining test和下游sealed test，做cluster bootstrap、permutation和Holm校正。</w:t>
      </w:r>
    </w:p>
    <w:p>
      <w:pPr>
        <w:pStyle w:val="ListNumber"/>
      </w:pPr>
      <w:r>
        <w:rPr>
          <w:rFonts w:ascii="Noto Sans CJK SC" w:hAnsi="Noto Sans CJK SC" w:eastAsia="Noto Sans CJK SC"/>
          <w:sz w:val="18"/>
        </w:rPr>
        <w:t>发布一个最终checkpoint、数据/代码receipts、完整失败项和可复现论文图表。</w:t>
      </w:r>
    </w:p>
    <w:p>
      <w:pPr>
        <w:pStyle w:val="Heading1"/>
      </w:pPr>
      <w:r>
        <w:t>14. 主要风险和停止条件</w:t>
      </w:r>
    </w:p>
    <w:p>
      <w:pPr>
        <w:pStyle w:val="ListBullet"/>
      </w:pPr>
      <w:r>
        <w:rPr>
          <w:rFonts w:ascii="Noto Sans CJK SC" w:hAnsi="Noto Sans CJK SC" w:eastAsia="Noto Sans CJK SC"/>
          <w:b/>
          <w:color w:val="17365D"/>
          <w:sz w:val="18"/>
        </w:rPr>
        <w:t>数据暴露风险</w:t>
      </w:r>
      <w:r>
        <w:rPr>
          <w:rFonts w:ascii="Noto Sans CJK SC" w:hAnsi="Noto Sans CJK SC" w:eastAsia="Noto Sans CJK SC"/>
          <w:sz w:val="18"/>
        </w:rPr>
        <w:t>：Brassicaceae unique容量可能有限，跨cycle训练可能让少数assembly或稀有locus重复过多。处理：cycle内无放回、首轮优先、pool最多领先一个cycle、rare-pool重复上限、unique/scheduled/processed分账和逐来源暴露报告；不把exposure-equivalent写成严格epoch。</w:t>
      </w:r>
    </w:p>
    <w:p>
      <w:pPr>
        <w:pStyle w:val="ListBullet"/>
      </w:pPr>
      <w:r>
        <w:rPr>
          <w:rFonts w:ascii="Noto Sans CJK SC" w:hAnsi="Noto Sans CJK SC" w:eastAsia="Noto Sans CJK SC"/>
          <w:b/>
          <w:color w:val="17365D"/>
          <w:sz w:val="18"/>
        </w:rPr>
        <w:t>128K显存风险</w:t>
      </w:r>
      <w:r>
        <w:rPr>
          <w:rFonts w:ascii="Noto Sans CJK SC" w:hAnsi="Noto Sans CJK SC" w:eastAsia="Noto Sans CJK SC"/>
          <w:sz w:val="18"/>
        </w:rPr>
        <w:t>：完整331M模型可能不能在40GB上满足门禁。处理：按冻结顺序优化；仍失败则BLOCKED，不改名为同一模型。</w:t>
      </w:r>
    </w:p>
    <w:p>
      <w:pPr>
        <w:pStyle w:val="ListBullet"/>
      </w:pPr>
      <w:r>
        <w:rPr>
          <w:rFonts w:ascii="Noto Sans CJK SC" w:hAnsi="Noto Sans CJK SC" w:eastAsia="Noto Sans CJK SC"/>
          <w:b/>
          <w:color w:val="17365D"/>
          <w:sz w:val="18"/>
        </w:rPr>
        <w:t>标签风险</w:t>
      </w:r>
      <w:r>
        <w:rPr>
          <w:rFonts w:ascii="Noto Sans CJK SC" w:hAnsi="Noto Sans CJK SC" w:eastAsia="Noto Sans CJK SC"/>
          <w:sz w:val="18"/>
        </w:rPr>
        <w:t>：S-locus、品质、抗病或SV影响的DIRECT标签可能不足。处理：在预训练前判定infeasible，保留探索性但不删确认性分母。</w:t>
      </w:r>
    </w:p>
    <w:p>
      <w:pPr>
        <w:pStyle w:val="ListBullet"/>
      </w:pPr>
      <w:r>
        <w:rPr>
          <w:rFonts w:ascii="Noto Sans CJK SC" w:hAnsi="Noto Sans CJK SC" w:eastAsia="Noto Sans CJK SC"/>
          <w:b/>
          <w:color w:val="17365D"/>
          <w:sz w:val="18"/>
        </w:rPr>
        <w:t>PlantCAD2竞争风险</w:t>
      </w:r>
      <w:r>
        <w:rPr>
          <w:rFonts w:ascii="Noto Sans CJK SC" w:hAnsi="Noto Sans CJK SC" w:eastAsia="Noto Sans CJK SC"/>
          <w:sz w:val="18"/>
        </w:rPr>
        <w:t>：PlantCAD2-M规模相近且植物通用任务很强。处理：公共任务以非劣为目标，专属任务必须包含其M/L版本，不回避。</w:t>
      </w:r>
    </w:p>
    <w:p>
      <w:pPr>
        <w:pStyle w:val="ListBullet"/>
      </w:pPr>
      <w:r>
        <w:rPr>
          <w:rFonts w:ascii="Noto Sans CJK SC" w:hAnsi="Noto Sans CJK SC" w:eastAsia="Noto Sans CJK SC"/>
          <w:b/>
          <w:color w:val="17365D"/>
          <w:sz w:val="18"/>
        </w:rPr>
        <w:t>GPN近域风险</w:t>
      </w:r>
      <w:r>
        <w:rPr>
          <w:rFonts w:ascii="Noto Sans CJK SC" w:hAnsi="Noto Sans CJK SC" w:eastAsia="Noto Sans CJK SC"/>
          <w:sz w:val="18"/>
        </w:rPr>
        <w:t>：GPN在Arabidopsis/Brassicales变异上可能非常强。处理：P7必须保留GPN，不能只和通用模型比。</w:t>
      </w:r>
    </w:p>
    <w:p>
      <w:pPr>
        <w:pStyle w:val="ListBullet"/>
      </w:pPr>
      <w:r>
        <w:rPr>
          <w:rFonts w:ascii="Noto Sans CJK SC" w:hAnsi="Noto Sans CJK SC" w:eastAsia="Noto Sans CJK SC"/>
          <w:b/>
          <w:color w:val="17365D"/>
          <w:sz w:val="18"/>
        </w:rPr>
        <w:t>Evo2规模风险</w:t>
      </w:r>
      <w:r>
        <w:rPr>
          <w:rFonts w:ascii="Noto Sans CJK SC" w:hAnsi="Noto Sans CJK SC" w:eastAsia="Noto Sans CJK SC"/>
          <w:sz w:val="18"/>
        </w:rPr>
        <w:t>：Evo2可能凭1M上下文和9T级训练赢得长程任务。处理：真实报告；本项目只在领域专属性和效率上形成主张。</w:t>
      </w:r>
    </w:p>
    <w:p>
      <w:pPr>
        <w:pStyle w:val="ListBullet"/>
      </w:pPr>
      <w:r>
        <w:rPr>
          <w:rFonts w:ascii="Noto Sans CJK SC" w:hAnsi="Noto Sans CJK SC" w:eastAsia="Noto Sans CJK SC"/>
          <w:b/>
          <w:color w:val="17365D"/>
          <w:sz w:val="18"/>
        </w:rPr>
        <w:t>预训练seed风险</w:t>
      </w:r>
      <w:r>
        <w:rPr>
          <w:rFonts w:ascii="Noto Sans CJK SC" w:hAnsi="Noto Sans CJK SC" w:eastAsia="Noto Sans CJK SC"/>
          <w:sz w:val="18"/>
        </w:rPr>
        <w:t>：只有一条完整lineage。处理：披露，不把下游五seed包装成预训练稳定性。</w:t>
      </w:r>
    </w:p>
    <w:p>
      <w:pPr>
        <w:pStyle w:val="ListBullet"/>
      </w:pPr>
      <w:r>
        <w:rPr>
          <w:rFonts w:ascii="Noto Sans CJK SC" w:hAnsi="Noto Sans CJK SC" w:eastAsia="Noto Sans CJK SC"/>
          <w:b/>
          <w:color w:val="17365D"/>
          <w:sz w:val="18"/>
        </w:rPr>
        <w:t>因果归因风险</w:t>
      </w:r>
      <w:r>
        <w:rPr>
          <w:rFonts w:ascii="Noto Sans CJK SC" w:hAnsi="Noto Sans CJK SC" w:eastAsia="Noto Sans CJK SC"/>
          <w:sz w:val="18"/>
        </w:rPr>
        <w:t>：架构、语料、目标同时变化。处理：依靠内部消融解释机制；没有广义植物同架构控制时不做语料单因素因果结论。</w:t>
      </w:r>
    </w:p>
    <w:p>
      <w:pPr>
        <w:pStyle w:val="Heading1"/>
      </w:pPr>
      <w:r>
        <w:t>15. 交付物与验收清单</w:t>
      </w:r>
    </w:p>
    <w:p>
      <w:pPr>
        <w:pStyle w:val="Heading2"/>
      </w:pPr>
      <w:r>
        <w:t>数据完成时必须出现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新的Brassicaceae assembly manifest及真实物种/属/倍性统计；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六长度真实候选、QC后、首轮unique容量，以及按cycle/context/region/taxon/source累计的realized窗口、scheduled tokens和processed tokens；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train/development/test/acceptance各自hash与近重复交集为0的receipt；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task exposure matrix与131,071 bp halo审计；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自包含数据bundle及离线回读验证。</w:t>
      </w:r>
    </w:p>
    <w:p>
      <w:pPr>
        <w:pStyle w:val="Heading2"/>
      </w:pPr>
      <w:r>
        <w:t>模型完成时必须出现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参数总数331,661,083的逐tensor清单；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六长度forward/backward、RC坐标、远端依赖和DDP归一化测试；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3×A100 40GB真实显存、tokens/s、step time和ETA；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100个128K steps跨进程恢复receipt；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winner选择和一次性test访问记录。</w:t>
      </w:r>
    </w:p>
    <w:p>
      <w:pPr>
        <w:pStyle w:val="Heading2"/>
      </w:pPr>
      <w:r>
        <w:t>下游完成时必须出现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每个任务的来源、accession、样本流转、split单位和最终n；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AgroNT、PlantCAD2-M/L、NT-v2、Evo2以及任务适用的PlantCaduceus/GPN真实重跑；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五seed、最高层cluster CI、Holm校正、失败任务和完整source data；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公共任务与专属任务分表，内部消融另表。</w:t>
      </w:r>
    </w:p>
    <w:p>
      <w:pPr>
        <w:pStyle w:val="Heading1"/>
      </w:pPr>
      <w:r>
        <w:t>16. 关键来源</w:t>
      </w:r>
    </w:p>
    <w:p>
      <w:pPr>
        <w:pStyle w:val="ListNumber"/>
      </w:pPr>
      <w:r>
        <w:rPr>
          <w:rFonts w:ascii="Noto Sans CJK SC" w:hAnsi="Noto Sans CJK SC" w:eastAsia="Noto Sans CJK SC"/>
          <w:sz w:val="18"/>
        </w:rPr>
        <w:t>AgroNT：Mendoza-Revilla et al., *A foundational large language model for edible plant genomes*, Communications Biology 2024, https://doi.org/10.1038/s42003-024-06465-2 。</w:t>
      </w:r>
    </w:p>
    <w:p>
      <w:pPr>
        <w:pStyle w:val="ListNumber"/>
      </w:pPr>
      <w:r>
        <w:rPr>
          <w:rFonts w:ascii="Noto Sans CJK SC" w:hAnsi="Noto Sans CJK SC" w:eastAsia="Noto Sans CJK SC"/>
          <w:sz w:val="18"/>
        </w:rPr>
        <w:t>AgroNT权重与PGB：</w:t>
      </w:r>
      <w:hyperlink r:id="rId12">
        <w:r>
          <w:rPr>
            <w:color w:val="2F5597"/>
            <w:u w:val="single"/>
            <w:rFonts w:ascii="Noto Sans CJK SC" w:eastAsia="Noto Sans CJK SC"/>
          </w:rPr>
          <w:t>model</w:t>
        </w:r>
      </w:hyperlink>
      <w:r>
        <w:rPr>
          <w:rFonts w:ascii="Noto Sans CJK SC" w:hAnsi="Noto Sans CJK SC" w:eastAsia="Noto Sans CJK SC"/>
          <w:sz w:val="18"/>
        </w:rPr>
        <w:t>，</w:t>
      </w:r>
      <w:hyperlink r:id="rId24">
        <w:r>
          <w:rPr>
            <w:color w:val="2F5597"/>
            <w:u w:val="single"/>
            <w:rFonts w:ascii="Noto Sans CJK SC" w:eastAsia="Noto Sans CJK SC"/>
          </w:rPr>
          <w:t>dataset</w:t>
        </w:r>
      </w:hyperlink>
      <w:r>
        <w:rPr>
          <w:rFonts w:ascii="Noto Sans CJK SC" w:hAnsi="Noto Sans CJK SC" w:eastAsia="Noto Sans CJK SC"/>
          <w:sz w:val="18"/>
        </w:rPr>
        <w:t>。</w:t>
      </w:r>
    </w:p>
    <w:p>
      <w:pPr>
        <w:pStyle w:val="ListNumber"/>
      </w:pPr>
      <w:r>
        <w:rPr>
          <w:rFonts w:ascii="Noto Sans CJK SC" w:hAnsi="Noto Sans CJK SC" w:eastAsia="Noto Sans CJK SC"/>
          <w:sz w:val="18"/>
        </w:rPr>
        <w:t>PlantCAD2：Zhai et al., *PlantCAD2: a DNA foundation model for interpreting genomes across flowering plants*, bioRxiv 2025, https://doi.org/10.1101/2025.08.27.672609 。</w:t>
      </w:r>
    </w:p>
    <w:p>
      <w:pPr>
        <w:pStyle w:val="ListNumber"/>
      </w:pPr>
      <w:r>
        <w:rPr>
          <w:rFonts w:ascii="Noto Sans CJK SC" w:hAnsi="Noto Sans CJK SC" w:eastAsia="Noto Sans CJK SC"/>
          <w:sz w:val="18"/>
        </w:rPr>
        <w:t>PlantCAD2公开集合：https://huggingface.co/collections/kuleshov-group/plantcad2-67e437e241a382671371a572 。</w:t>
      </w:r>
    </w:p>
    <w:p>
      <w:pPr>
        <w:pStyle w:val="ListNumber"/>
      </w:pPr>
      <w:r>
        <w:rPr>
          <w:rFonts w:ascii="Noto Sans CJK SC" w:hAnsi="Noto Sans CJK SC" w:eastAsia="Noto Sans CJK SC"/>
          <w:sz w:val="18"/>
        </w:rPr>
        <w:t>PlantCaduceus：Zhai et al., PNAS 2025, https://doi.org/10.1073/pnas.2421738122 。</w:t>
      </w:r>
    </w:p>
    <w:p>
      <w:pPr>
        <w:pStyle w:val="ListNumber"/>
      </w:pPr>
      <w:r>
        <w:rPr>
          <w:rFonts w:ascii="Noto Sans CJK SC" w:hAnsi="Noto Sans CJK SC" w:eastAsia="Noto Sans CJK SC"/>
          <w:sz w:val="18"/>
        </w:rPr>
        <w:t>GPN：Benegas et al., PNAS 2023, https://doi.org/10.1073/pnas.2311219120 。</w:t>
      </w:r>
    </w:p>
    <w:p>
      <w:pPr>
        <w:pStyle w:val="ListNumber"/>
      </w:pPr>
      <w:r>
        <w:rPr>
          <w:rFonts w:ascii="Noto Sans CJK SC" w:hAnsi="Noto Sans CJK SC" w:eastAsia="Noto Sans CJK SC"/>
          <w:sz w:val="18"/>
        </w:rPr>
        <w:t>Nucleotide Transformer：Dalla-Torre et al., Nature Methods 2025, https://doi.org/10.1038/s41592-024-02523-z 。</w:t>
      </w:r>
    </w:p>
    <w:p>
      <w:pPr>
        <w:pStyle w:val="ListNumber"/>
      </w:pPr>
      <w:r>
        <w:rPr>
          <w:rFonts w:ascii="Noto Sans CJK SC" w:hAnsi="Noto Sans CJK SC" w:eastAsia="Noto Sans CJK SC"/>
          <w:sz w:val="18"/>
        </w:rPr>
        <w:t>NT-v2-500M权重：https://huggingface.co/InstaDeepAI/nucleotide-transformer-v2-500m-multi-species 。</w:t>
      </w:r>
    </w:p>
    <w:p>
      <w:pPr>
        <w:pStyle w:val="ListNumber"/>
      </w:pPr>
      <w:r>
        <w:rPr>
          <w:rFonts w:ascii="Noto Sans CJK SC" w:hAnsi="Noto Sans CJK SC" w:eastAsia="Noto Sans CJK SC"/>
          <w:sz w:val="18"/>
        </w:rPr>
        <w:t>Evo 2：Brixi et al., Nature 2026, https://doi.org/10.1038/s41586-026-10176-5 ；代码与模型：https://github.com/ArcInstitute/evo2 。</w:t>
      </w:r>
    </w:p>
    <w:p>
      <w:pPr>
        <w:pStyle w:val="ListNumber"/>
      </w:pPr>
      <w:r>
        <w:rPr>
          <w:rFonts w:ascii="Noto Sans CJK SC" w:hAnsi="Noto Sans CJK SC" w:eastAsia="Noto Sans CJK SC"/>
          <w:sz w:val="18"/>
        </w:rPr>
        <w:t>Caduceus：Schiff et al., ICML 2024, https://proceedings.mlr.press/v235/schiff24a.html 。</w:t>
      </w:r>
    </w:p>
    <w:p>
      <w:pPr>
        <w:pStyle w:val="ListNumber"/>
      </w:pPr>
      <w:r>
        <w:rPr>
          <w:rFonts w:ascii="Noto Sans CJK SC" w:hAnsi="Noto Sans CJK SC" w:eastAsia="Noto Sans CJK SC"/>
          <w:sz w:val="18"/>
        </w:rPr>
        <w:t>DNA foundation model公平评测：Nature Communications 2025, https://doi.org/10.1038/s41467-025-65823-8 。</w:t>
      </w:r>
    </w:p>
    <w:p>
      <w:pPr>
        <w:pStyle w:val="ListNumber"/>
      </w:pPr>
      <w:r>
        <w:rPr>
          <w:rFonts w:ascii="Noto Sans CJK SC" w:hAnsi="Noto Sans CJK SC" w:eastAsia="Noto Sans CJK SC"/>
          <w:sz w:val="18"/>
        </w:rPr>
        <w:t>DNALONGBENCH：Nature Communications 2025, https://doi.org/10.1038/s41467-025-65077-4 。</w:t>
      </w:r>
    </w:p>
    <w:p>
      <w:pPr>
        <w:pStyle w:val="ListNumber"/>
      </w:pPr>
      <w:r>
        <w:rPr>
          <w:rFonts w:ascii="Noto Sans CJK SC" w:hAnsi="Noto Sans CJK SC" w:eastAsia="Noto Sans CJK SC"/>
          <w:sz w:val="18"/>
        </w:rPr>
        <w:t>SegmentNT：Nature Methods 2025, https://doi.org/10.1038/s41592-025-02881-2 。</w:t>
      </w:r>
    </w:p>
    <w:p>
      <w:pPr>
        <w:pStyle w:val="Heading1"/>
      </w:pPr>
      <w:r>
        <w:t>17. 白话总结</w:t>
      </w:r>
    </w:p>
    <w:p>
      <w:r>
        <w:rPr>
          <w:rFonts w:ascii="Noto Sans CJK SC" w:hAnsi="Noto Sans CJK SC" w:eastAsia="Noto Sans CJK SC"/>
          <w:sz w:val="19"/>
        </w:rPr>
        <w:t>这个项目的目标不是做一个比Evo 2更大的模型，也不是复制AgroNT或PlantCAD2。我们的模型只有约3.32亿训练参数，unique语料域限定在十字花科；最终processed-token规模不预先封顶，而由冻结development收敛规则决定。它真正应该赢的地方，是把十字花科内部最重要、最复杂的关系学深：二倍体与异源多倍体的homeolog、U三角亚基因组、WGT后的保留与分馏、S-locus、NLR和抗病、硫代葡萄糖苷与油用品质、PAV/SV/TE以及跨属少样本迁移。</w:t>
      </w:r>
    </w:p>
    <w:p>
      <w:r>
        <w:rPr>
          <w:rFonts w:ascii="Noto Sans CJK SC" w:hAnsi="Noto Sans CJK SC" w:eastAsia="Noto Sans CJK SC"/>
          <w:sz w:val="19"/>
        </w:rPr>
        <w:t>为了让这个结论可信，公共模型已有的任务一个也不能故意躲开：AgroNT的PGB要做，PlantCAD2的zero-shot和跨物种任务要做，NT-v2要作为无植物预训练的通用对照，Evo 2要作为真正长上下文对照，GPN要作为Brassicales变异强基线。一般任务上争取媲美，专属任务上用严格未见orthogroup、未见haplotype clan、未见cultivar和未见属证明优势。如果最后没有超过，就如实收缩主张；如果超过，才有资格说这是一个真正有用的十字花科基因组基础模型。</w:t>
      </w:r>
    </w:p>
    <w:sectPr w:rsidR="00FC693F" w:rsidRPr="0006063C" w:rsidSect="00034616">
      <w:pgSz w:w="11906" w:h="16838"/>
      <w:pgMar w:top="879" w:right="992" w:bottom="822" w:left="992" w:header="369" w:footer="36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5B6573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5B6573"/>
        <w:sz w:val="16"/>
      </w:rPr>
      <w:t>BrassicaceaeGenomeFM  |  Comprehensive Design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83" w:lineRule="auto"/>
    </w:pPr>
    <w:rPr>
      <w:rFonts w:ascii="Noto Sans CJK SC" w:hAnsi="Noto Sans CJK SC" w:eastAsia="Noto Sans CJK S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480" w:after="0"/>
      <w:outlineLvl w:val="0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2F5597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167D8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erif CJK SC" w:hAnsi="Noto Serif CJK SC" w:eastAsia="Noto Serif CJK SC"/>
      <w:b/>
      <w:color w:val="17365D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50"/>
      <w:contextualSpacing/>
    </w:pPr>
    <w:rPr>
      <w:rFonts w:ascii="Noto Sans CJK SC" w:hAnsi="Noto Sans CJK SC" w:eastAsia="Noto Sans CJK SC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50"/>
      <w:contextualSpacing/>
    </w:pPr>
    <w:rPr>
      <w:rFonts w:ascii="Noto Sans CJK SC" w:hAnsi="Noto Sans CJK SC" w:eastAsia="Noto Sans CJK SC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ind w:left="340"/>
    </w:pPr>
    <w:rPr>
      <w:rFonts w:ascii="Liberation Mono" w:hAnsi="Liberation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oi.org/10.1038/s42003-024-06465-2" TargetMode="External"/><Relationship Id="rId12" Type="http://schemas.openxmlformats.org/officeDocument/2006/relationships/hyperlink" Target="https://huggingface.co/InstaDeepAI/agro-nucleotide-transformer-1b" TargetMode="External"/><Relationship Id="rId13" Type="http://schemas.openxmlformats.org/officeDocument/2006/relationships/hyperlink" Target="https://doi.org/10.1101/2025.08.27.672609" TargetMode="External"/><Relationship Id="rId14" Type="http://schemas.openxmlformats.org/officeDocument/2006/relationships/hyperlink" Target="https://huggingface.co/collections/kuleshov-group/plantcad2-67e437e241a382671371a572" TargetMode="External"/><Relationship Id="rId15" Type="http://schemas.openxmlformats.org/officeDocument/2006/relationships/hyperlink" Target="https://doi.org/10.1073/pnas.2421738122" TargetMode="External"/><Relationship Id="rId16" Type="http://schemas.openxmlformats.org/officeDocument/2006/relationships/hyperlink" Target="https://huggingface.co/kuleshov-group/PlantCaduceus_l32" TargetMode="External"/><Relationship Id="rId17" Type="http://schemas.openxmlformats.org/officeDocument/2006/relationships/hyperlink" Target="https://doi.org/10.1073/pnas.2311219120" TargetMode="External"/><Relationship Id="rId18" Type="http://schemas.openxmlformats.org/officeDocument/2006/relationships/hyperlink" Target="https://huggingface.co/songlab/gpn-brassicales" TargetMode="External"/><Relationship Id="rId19" Type="http://schemas.openxmlformats.org/officeDocument/2006/relationships/hyperlink" Target="https://doi.org/10.1038/s41592-024-02523-z" TargetMode="External"/><Relationship Id="rId20" Type="http://schemas.openxmlformats.org/officeDocument/2006/relationships/hyperlink" Target="https://huggingface.co/InstaDeepAI/nucleotide-transformer-v2-500m-multi-species" TargetMode="External"/><Relationship Id="rId21" Type="http://schemas.openxmlformats.org/officeDocument/2006/relationships/hyperlink" Target="https://doi.org/10.1038/s41586-026-10176-5" TargetMode="External"/><Relationship Id="rId22" Type="http://schemas.openxmlformats.org/officeDocument/2006/relationships/hyperlink" Target="https://github.com/ArcInstitute/evo2" TargetMode="External"/><Relationship Id="rId23" Type="http://schemas.openxmlformats.org/officeDocument/2006/relationships/hyperlink" Target="https://huggingface.co/arcinstitute/evo2_7b" TargetMode="External"/><Relationship Id="rId24" Type="http://schemas.openxmlformats.org/officeDocument/2006/relationships/hyperlink" Target="https://huggingface.co/datasets/InstaDeepAI/plant-genomic-benchmar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BrassicaceaeGenomeFM完整研究设计</dc:title>
  <dc:subject>无预定总token/step上限的连续预训练、模型、数据与评测设计</dc:subject>
  <dc:creator>BrassicaceaeGenomeFM项目组</dc:creator>
  <cp:keywords>Brassicaceae, genome foundation model, Mamba, 128K, WSD, coverage cycle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