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26" w:space="1" w:color="2F6BFF"/>
        </w:pBdr>
        <w:spacing w:after="680"/>
      </w:pPr>
    </w:p>
    <w:p>
      <w:pPr>
        <w:pStyle w:val="Title"/>
        <w:jc w:val="left"/>
      </w:pPr>
      <w:r>
        <w:t>CropGenome-FM</w:t>
        <w:br/>
        <w:t>作物基因组基础模型</w:t>
      </w:r>
    </w:p>
    <w:p>
      <w:pPr>
        <w:pStyle w:val="Subtitle"/>
      </w:pPr>
      <w:r>
        <w:t>详细研究设计、数据字典、模型架构、预训练与下游评估报告</w:t>
      </w:r>
    </w:p>
    <w:p>
      <w:pPr>
        <w:shd w:fill="2F6BFF" w:val="clear"/>
        <w:spacing w:before="300" w:after="240"/>
      </w:pPr>
      <w:r>
        <w:rPr>
          <w:rFonts w:ascii="Arial" w:hAnsi="Arial" w:eastAsia="Microsoft YaHei"/>
          <w:b/>
          <w:color w:val="FFFFFF"/>
          <w:sz w:val="18"/>
        </w:rPr>
        <w:t>CURRENT EVIDENCE + PREREGISTERED NEXT-STAGE DESIGN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文档版本：</w:t>
      </w:r>
      <w:r>
        <w:rPr>
          <w:rFonts w:ascii="Arial" w:hAnsi="Arial" w:eastAsia="Microsoft YaHei"/>
          <w:color w:val="20252B"/>
          <w:sz w:val="21"/>
        </w:rPr>
        <w:t>2.0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机器证据截止：</w:t>
      </w:r>
      <w:r>
        <w:rPr>
          <w:rFonts w:ascii="Arial" w:hAnsi="Arial" w:eastAsia="Microsoft YaHei"/>
          <w:color w:val="20252B"/>
          <w:sz w:val="21"/>
        </w:rPr>
        <w:t>2026-07-21 14:04 CST（UTC+08:00）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本次文档更新：</w:t>
      </w:r>
      <w:r>
        <w:rPr>
          <w:rFonts w:ascii="Arial" w:hAnsi="Arial" w:eastAsia="Microsoft YaHei"/>
          <w:color w:val="20252B"/>
          <w:sz w:val="21"/>
        </w:rPr>
        <w:t>2026-07-27（未新增或重跑formal test）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当前冻结基座：</w:t>
      </w:r>
      <w:r>
        <w:rPr>
          <w:rFonts w:ascii="Arial" w:hAnsi="Arial" w:eastAsia="Microsoft YaHei"/>
          <w:color w:val="20252B"/>
          <w:sz w:val="21"/>
        </w:rPr>
        <w:t>CropGenomeFM_step14000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实际模型参数：</w:t>
      </w:r>
      <w:r>
        <w:rPr>
          <w:rFonts w:ascii="Arial" w:hAnsi="Arial" w:eastAsia="Microsoft YaHei"/>
          <w:color w:val="20252B"/>
          <w:sz w:val="21"/>
        </w:rPr>
        <w:t>369,505,287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交付格式：</w:t>
      </w:r>
      <w:r>
        <w:rPr>
          <w:rFonts w:ascii="Arial" w:hAnsi="Arial" w:eastAsia="Microsoft YaHei"/>
          <w:color w:val="20252B"/>
          <w:sz w:val="21"/>
        </w:rPr>
        <w:t>Markdown + DOCX + source-data + PNG/PDF figures</w:t>
      </w:r>
    </w:p>
    <w:p>
      <w:pPr>
        <w:pStyle w:val="Callout"/>
        <w:pBdr>
          <w:left w:val="single" w:sz="18" w:space="8" w:color="2F6BFF"/>
        </w:pBdr>
        <w:shd w:fill="EAF1FF" w:val="clear"/>
        <w:spacing w:before="440"/>
      </w:pPr>
      <w:r>
        <w:rPr>
          <w:rFonts w:ascii="Arial" w:hAnsi="Arial" w:eastAsia="Microsoft YaHei"/>
          <w:b/>
          <w:color w:val="20252B"/>
          <w:sz w:val="21"/>
        </w:rPr>
        <w:t>证据边界：</w:t>
      </w:r>
      <w:r>
        <w:rPr>
          <w:rFonts w:ascii="Arial" w:hAnsi="Arial" w:eastAsia="Microsoft YaHei"/>
          <w:color w:val="20252B"/>
          <w:sz w:val="21"/>
        </w:rPr>
        <w:t xml:space="preserve"> 8K Stage B和10项正式下游任务已经完成；64K Stage C1只到step569且没有validation；NT-v2 500M尚未评估。未来任务中的计划窗口数不是现有结果。</w:t>
      </w:r>
    </w:p>
    <w:p>
      <w:pPr>
        <w:spacing w:before="480"/>
        <w:jc w:val="left"/>
      </w:pPr>
      <w:r>
        <w:rPr>
          <w:rFonts w:ascii="Arial" w:hAnsi="Arial" w:eastAsia="Microsoft YaHei"/>
          <w:b/>
          <w:color w:val="667085"/>
          <w:sz w:val="20"/>
        </w:rPr>
        <w:t>CropGenome-FM Project · Reproducible Research Delivery</w:t>
      </w:r>
      <w:r>
        <w:br w:type="page"/>
      </w:r>
    </w:p>
    <w:p>
      <w:pPr>
        <w:pStyle w:val="Heading1"/>
      </w:pPr>
      <w:r>
        <w:t>执行摘要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已完成：369.5M参数、8,192-bp Stage B基座；validation选择step14000；核心3任务和外部7任务正式评估完成。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未完成：Stage C1停在step569、未到第一次validation；Stage C2/D只有数据，没有128K/256K模型。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当前优势：2,048和8,192 bp核心三任务宏平均AUPRC排名第1，且显著超过同架构random-init。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当前差距：外部表达与lncRNA任务上PlantCAD2/PlantCaduceus总体更强；NT-v2 500M没有当前成绩。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新审计：旧核心AUPRC函数对并列分数处理不正确，影响多数tie-sensitive baseline；tie-safe重算后主学习模型排名不变。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分类学边界：核心3任务是下游species/genus-disjoint，但整体不是family-disjoint；相对Stage B为3/3 test accession隔离、仅1/3 test物种未见。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任务设计：9项作物专属复杂任务已逐项绑定AgroNT 1B、PlantCAD2/PlantCaduceus、NT-v2 500M、Evo2和传统强基线的公平角色及成功门槛。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下一步：先冻结NT-v2 500M与P0作物长程任务，再决定是否投入mixed-context 64–256K正式训练。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196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6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图1｜CropGenome-FM当前实现架构、RC双向路径与三个输出用途</w:t>
      </w:r>
    </w:p>
    <w:p>
      <w:r>
        <w:br w:type="page"/>
      </w:r>
    </w:p>
    <w:p>
      <w:pPr>
        <w:pStyle w:val="Heading1"/>
      </w:pPr>
      <w:r>
        <w:t>目录｜章节导航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1. 阅读指南与证据等级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15. 当前证据能回答什么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2. 研究目标、核心假设与不能预设的结论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16. 当前研究设计的主要局限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3. 当前项目状态总表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17. 下一版作物专属下游任务矩阵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4. 预训练原始数据：组成、来源与split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18. 每个新增任务的详细设计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5. 预训练窗口数据包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19. 如何做到“通用任务媲美、作物专属任务超过”而不作弊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6. 模型架构详解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20. 推荐的下一版预训练设计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7. 预训练任务与损失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21. 统计分析和test使用规则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8. 训练超参数、验证与当前终态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22. 执行优先级与停止条件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9. 下游评估总原则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23. 可复现性、source data和GitHub交付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10. 核心正式任务：CropGenome-Bench-v1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24. 公开资源与冻结版本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11. 核心任务全部正式性能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25. 结论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12. 外部任务：Plant Genomic Benchmark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附录A：258个assembly的30物种组成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13. 外部任务全部正式性能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附录B：当前证据文件角色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14. 基线模型、参数量与公平角色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附录C：指标怎么读</w:t>
            </w:r>
          </w:p>
        </w:tc>
      </w:tr>
    </w:tbl>
    <w:p>
      <w:pPr>
        <w:pStyle w:val="Callout"/>
        <w:pBdr>
          <w:left w:val="single" w:sz="18" w:space="8" w:color="C7D0DB"/>
        </w:pBdr>
        <w:shd w:fill="F4F6F8" w:val="clear"/>
      </w:pPr>
      <w:r>
        <w:rPr>
          <w:rFonts w:ascii="Arial" w:hAnsi="Arial" w:eastAsia="Microsoft YaHei"/>
          <w:color w:val="20252B"/>
          <w:sz w:val="19"/>
        </w:rPr>
        <w:t>本页为静态章节导航，确保LibreOffice、Microsoft Word和在线预览均可直接阅读；实际页码请以页脚为准。</w:t>
      </w:r>
    </w:p>
    <w:p>
      <w:r>
        <w:br w:type="page"/>
      </w:r>
    </w:p>
    <w:p>
      <w:pPr>
        <w:pStyle w:val="Heading2"/>
      </w:pPr>
      <w:r>
        <w:t>1. 阅读指南与证据等级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本报告把内容分成三层，避免把未来愿景写成已经实现的结果。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F（formal，正式证据）</w:t>
      </w:r>
      <w:r>
        <w:rPr>
          <w:rFonts w:ascii="Arial" w:hAnsi="Arial" w:eastAsia="Microsoft YaHei"/>
          <w:color w:val="20252B"/>
          <w:sz w:val="20"/>
        </w:rPr>
        <w:t>：数据、split、模型revision、checkpoint、主指标和测试结果均已冻结；test只用于最终报告。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D（diagnostic，诊断证据）</w:t>
      </w:r>
      <w:r>
        <w:rPr>
          <w:rFonts w:ascii="Arial" w:hAnsi="Arial" w:eastAsia="Microsoft YaHei"/>
          <w:color w:val="20252B"/>
          <w:sz w:val="20"/>
        </w:rPr>
        <w:t>：validation-only、轻量probe或checkpoint筛选结果，只用于调试和模型选择，不能替代正式测试。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P（planned，计划）</w:t>
      </w:r>
      <w:r>
        <w:rPr>
          <w:rFonts w:ascii="Arial" w:hAnsi="Arial" w:eastAsia="Microsoft YaHei"/>
          <w:color w:val="20252B"/>
          <w:sz w:val="20"/>
        </w:rPr>
        <w:t>：尚未完成数据冻结或训练；文中给出的窗口数是最低目标，不是现有样本数。</w:t>
      </w:r>
    </w:p>
    <w:p>
      <w:pPr>
        <w:pStyle w:val="Heading3"/>
      </w:pPr>
      <w:r>
        <w:t>1.1 术语快速解释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442"/>
        <w:gridCol w:w="3712"/>
        <w:gridCol w:w="3712"/>
      </w:tblGrid>
      <w:tr>
        <w:trPr>
          <w:cantSplit/>
          <w:tblHeader w:val="true"/>
        </w:trPr>
        <w:tc>
          <w:tcPr>
            <w:tcW w:type="dxa" w:w="24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术语</w:t>
            </w:r>
          </w:p>
        </w:tc>
        <w:tc>
          <w:tcPr>
            <w:tcW w:type="dxa" w:w="37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  <w:tc>
          <w:tcPr>
            <w:tcW w:type="dxa" w:w="37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在本项目中的具体含义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assembly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一套组装好的参考基因组版本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以NCBI accession区分；同一物种可以有多个assembly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 / GFF3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FASTA保存DNA序列；GFF3保存基因、外显子、内含子等坐标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FASTA提供模型输入，GFF3提供区域采样、辅助标签和核心结构任务标签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模型读取的最小单位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CropGenome-FM采用字符级DNA输入，基本一碱基一token；AgroNT和NT-v2使用6-mer tokenizer，长度上限不能直接按bp等同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 / window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一次送入模型的连续序列范围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当前正式基座为8,192 bp；64K只完成Gate和部分训练；128K/256K尚未训练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train / validation / test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训练、模型选择、一次性正式检验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validation可以选checkpoint；test不得参与调参、任务筛选或早停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checkpoint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某个训练step保存的模型状态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B的正式冻结模型是validation选择的step14000，不是停止点step17000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frozen probe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冻结基础模型，只训练简单预测头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当前主比较反映表示质量，不等于所有模型完整fine-tuning后的最高性能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reverse complement（反向互补）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DNA换方向读取时序列反转且A/T、C/G互换；模型两条路径共享参数并对齐融合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native / chunked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native是一次完整读取；chunked是切成多块再聚合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短模型在64–256K任务中只能进入chunked赛道，不能把无法native处理记成0分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N/E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not eligible / not evaluated（不具备完整输入资格或未评估）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不是性能为0；表示zero-truncation门禁不允许静默裁切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 / Pearson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分类和回归主指标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AUPRC越高越好；Pearson衡量预测与真实表达的线性相关，越接近1越好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hard negative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看起来很像正例但并非真实正例的困难负样本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例如剪接负例也含GT/AG motif，迫使模型学习边界上下文而非只认motif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bootstrap 95% CI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对独立物种、位点或study重采样得到的不确定性区间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未来优效/非劣结论看CI下界，不只看一个点估计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MMED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minimum meaningful effect difference（最小有意义效应差）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预先规定“至少提升多少才有科学意义”，避免把极小随机差异写成突破</w:t>
            </w:r>
          </w:p>
        </w:tc>
      </w:tr>
    </w:tbl>
    <w:p>
      <w:pPr>
        <w:spacing w:after="20"/>
      </w:pPr>
    </w:p>
    <w:p>
      <w:pPr>
        <w:pStyle w:val="Heading2"/>
      </w:pPr>
      <w:r>
        <w:t>2. 研究目标、核心假设与不能预设的结论</w:t>
      </w:r>
    </w:p>
    <w:p>
      <w:pPr>
        <w:pStyle w:val="Heading3"/>
      </w:pPr>
      <w:r>
        <w:t>2.1 总目标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构建一个真正面向作物和植物基因组的基础模型：既能在启动子、剪接、转录终止、增强子、lncRNA和表达预测等通用任务上接近或超过公开基因组大模型，也能在多倍体同源基因、TE插入调控、超长基因结构、NLR抗病基因簇、作物pan-genome结构变异等作物专属复杂问题上形成可验证优势。</w:t>
      </w:r>
    </w:p>
    <w:p>
      <w:pPr>
        <w:pStyle w:val="Heading3"/>
      </w:pPr>
      <w:r>
        <w:t>2.2 可检验假设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H1：作物域预训练有效。</w:t>
      </w:r>
      <w:r>
        <w:rPr>
          <w:rFonts w:ascii="Arial" w:hAnsi="Arial" w:eastAsia="Microsoft YaHei"/>
          <w:color w:val="20252B"/>
          <w:sz w:val="20"/>
        </w:rPr>
        <w:t xml:space="preserve"> 同一架构的预训练模型应稳定超过random-init；当前正式数据支持H1。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H2：上下文增益真实。</w:t>
      </w:r>
      <w:r>
        <w:rPr>
          <w:rFonts w:ascii="Arial" w:hAnsi="Arial" w:eastAsia="Microsoft YaHei"/>
          <w:color w:val="20252B"/>
          <w:sz w:val="20"/>
        </w:rPr>
        <w:t xml:space="preserve"> 2K→8K→64K的提升必须来自额外远端序列，而不是padding、样本变化或probe自由度；当前核心nested-context支持到8K，但64K尚无正式测试。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H3：作物域优于纯规模。</w:t>
      </w:r>
      <w:r>
        <w:rPr>
          <w:rFonts w:ascii="Arial" w:hAnsi="Arial" w:eastAsia="Microsoft YaHei"/>
          <w:color w:val="20252B"/>
          <w:sz w:val="20"/>
        </w:rPr>
        <w:t xml:space="preserve"> 在作物专属任务上，中等规模作物模型可超过更大的通用模型；当前部分任务支持，但PlantCAD2/PlantCaduceus仍是强对手。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H4：多任务预训练改善结构理解。</w:t>
      </w:r>
      <w:r>
        <w:rPr>
          <w:rFonts w:ascii="Arial" w:hAnsi="Arial" w:eastAsia="Microsoft YaHei"/>
          <w:color w:val="20252B"/>
          <w:sz w:val="20"/>
        </w:rPr>
        <w:t xml:space="preserve"> MLM＋RC一致性＋区域辅助目标应改善启动子/剪接/TES表征；需通过消融而非只看单个最终模型验证。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H5：长程架构对复杂区域必要。</w:t>
      </w:r>
      <w:r>
        <w:rPr>
          <w:rFonts w:ascii="Arial" w:hAnsi="Arial" w:eastAsia="Microsoft YaHei"/>
          <w:color w:val="20252B"/>
          <w:sz w:val="20"/>
        </w:rPr>
        <w:t xml:space="preserve"> 64–256K完整上下文应在长基因、多倍体flank、TE/SV和NLR簇任务上超过短模型的native输入；必须同时提供chunked基线，不能把“模型跑不了”伪装成0分。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不能预设的结论：</w:t>
      </w:r>
      <w:r>
        <w:rPr>
          <w:rFonts w:ascii="Arial" w:hAnsi="Arial" w:eastAsia="Microsoft YaHei"/>
          <w:color w:val="20252B"/>
          <w:sz w:val="21"/>
        </w:rPr>
        <w:t xml:space="preserve"> 新任务不能为了让本模型赢而事后筛选；PlantCAD2、PlantCaduceus、AgroNT、NT-v2 500M、Evo2必须在结果揭盲前注册；若本模型不超过它们，应如实报告。</w:t>
      </w:r>
    </w:p>
    <w:p>
      <w:pPr>
        <w:pStyle w:val="Heading2"/>
      </w:pPr>
      <w:r>
        <w:t>3. 当前项目状态总表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269"/>
        <w:gridCol w:w="3749"/>
        <w:gridCol w:w="1677"/>
        <w:gridCol w:w="2171"/>
      </w:tblGrid>
      <w:tr>
        <w:trPr>
          <w:cantSplit/>
          <w:tblHeader w:val="true"/>
        </w:trPr>
        <w:tc>
          <w:tcPr>
            <w:tcW w:type="dxa" w:w="22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374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当前状态</w:t>
            </w:r>
          </w:p>
        </w:tc>
        <w:tc>
          <w:tcPr>
            <w:tcW w:type="dxa" w:w="167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可以支持的表述</w:t>
            </w:r>
          </w:p>
        </w:tc>
        <w:tc>
          <w:tcPr>
            <w:tcW w:type="dxa" w:w="21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不能支持的表述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 8K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step17000触发早停；validation最佳并冻结step14000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8K基座训练和正式下游评估完成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完整遍历一遍语料或充分训练至收敛</w:t>
            </w:r>
          </w:p>
        </w:tc>
      </w:tr>
      <w:tr>
        <w:trPr>
          <w:cantSplit/>
        </w:trPr>
        <w:tc>
          <w:tcPr>
            <w:tcW w:type="dxa" w:w="22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C1 64K</w:t>
            </w:r>
          </w:p>
        </w:tc>
        <w:tc>
          <w:tcPr>
            <w:tcW w:type="dxa" w:w="374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真实65,536 bp单步Gate通过；正式run停在step569</w:t>
            </w:r>
          </w:p>
        </w:tc>
        <w:tc>
          <w:tcPr>
            <w:tcW w:type="dxa" w:w="167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架构/显存/反向传播路径可运行</w:t>
            </w:r>
          </w:p>
        </w:tc>
        <w:tc>
          <w:tcPr>
            <w:tcW w:type="dxa" w:w="21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完成64K预训练、64K验证或64K下游收益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C2 128K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数据包与旧训练配置存在；未训练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128K数据已经物化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已有128K模型</w:t>
            </w:r>
          </w:p>
        </w:tc>
      </w:tr>
      <w:tr>
        <w:trPr>
          <w:cantSplit/>
        </w:trPr>
        <w:tc>
          <w:tcPr>
            <w:tcW w:type="dxa" w:w="22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D 256K</w:t>
            </w:r>
          </w:p>
        </w:tc>
        <w:tc>
          <w:tcPr>
            <w:tcW w:type="dxa" w:w="374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数据包与旧训练配置存在；未训练</w:t>
            </w:r>
          </w:p>
        </w:tc>
        <w:tc>
          <w:tcPr>
            <w:tcW w:type="dxa" w:w="167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256K数据已经物化</w:t>
            </w:r>
          </w:p>
        </w:tc>
        <w:tc>
          <w:tcPr>
            <w:tcW w:type="dxa" w:w="21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已有256K模型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CropGenome-Bench-v1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3任务×3 nested contexts正式完成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核心结构任务正式比较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覆盖所有作物功能问题</w:t>
            </w:r>
          </w:p>
        </w:tc>
      </w:tr>
      <w:tr>
        <w:trPr>
          <w:cantSplit/>
        </w:trPr>
        <w:tc>
          <w:tcPr>
            <w:tcW w:type="dxa" w:w="22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Genomic Benchmark</w:t>
            </w:r>
          </w:p>
        </w:tc>
        <w:tc>
          <w:tcPr>
            <w:tcW w:type="dxa" w:w="374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7任务正式完成；512/6000 bp按能力覆盖</w:t>
            </w:r>
          </w:p>
        </w:tc>
        <w:tc>
          <w:tcPr>
            <w:tcW w:type="dxa" w:w="167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外部增强子/lncRNA/表达证据</w:t>
            </w:r>
          </w:p>
        </w:tc>
        <w:tc>
          <w:tcPr>
            <w:tcW w:type="dxa" w:w="21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所有任务多seed稳定性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NT-v2 500M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官方模型标识/config已核验，但未下载冻结和评估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下一版必加基线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任何当前性能比较</w:t>
            </w:r>
          </w:p>
        </w:tc>
      </w:tr>
    </w:tbl>
    <w:p>
      <w:pPr>
        <w:spacing w:after="20"/>
      </w:pPr>
    </w:p>
    <w:p>
      <w:pPr>
        <w:pStyle w:val="Heading2"/>
      </w:pPr>
      <w:r>
        <w:t>4. 预训练原始数据：组成、来源与split</w:t>
      </w:r>
    </w:p>
    <w:p>
      <w:pPr>
        <w:pStyle w:val="Heading3"/>
      </w:pPr>
      <w:r>
        <w:t>4.1 原始来源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来源是NCBI GenBank和NCBI RefSeq的公开plant/crop genome assembly FASTA与GFF3注释。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canonical manifest含</w:t>
      </w:r>
      <w:r>
        <w:rPr>
          <w:rFonts w:ascii="Arial" w:hAnsi="Arial" w:eastAsia="Microsoft YaHei"/>
          <w:b/>
          <w:color w:val="20252B"/>
          <w:sz w:val="20"/>
        </w:rPr>
        <w:t>258个assembly、30个物种、23个属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split为train 206、validation 25、test 27个assembly。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来源构成为GenBank 209、RefSeq 49。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manifest记录的压缩下载文件合计：genome约16.66 GB、annotation约2.32 GB；这是压缩artifact字节，不是解压后碱基总数。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split策略名为</w:t>
      </w:r>
      <w:r>
        <w:rPr>
          <w:rFonts w:ascii="Consolas" w:hAnsi="Consolas" w:eastAsia="Microsoft YaHei"/>
          <w:color w:val="183153"/>
          <w:sz w:val="19"/>
        </w:rPr>
        <w:t>assembly_accession_level_genus_stratified_v2</w:t>
      </w:r>
      <w:r>
        <w:rPr>
          <w:rFonts w:ascii="Arial" w:hAnsi="Arial" w:eastAsia="Microsoft YaHei"/>
          <w:color w:val="20252B"/>
          <w:sz w:val="20"/>
        </w:rPr>
        <w:t>。多个assembly来自同一物种/属，因此这不是“预训练完全genus-disjoint”。报告零样本跨属能力时必须另建从预训练中完全未见的外部属。</w:t>
      </w:r>
    </w:p>
    <w:p>
      <w:pPr>
        <w:pStyle w:val="Heading3"/>
      </w:pPr>
      <w:r>
        <w:t>4.2 数据用途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train assembly</w:t>
      </w:r>
      <w:r>
        <w:rPr>
          <w:rFonts w:ascii="Arial" w:hAnsi="Arial" w:eastAsia="Microsoft YaHei"/>
          <w:color w:val="20252B"/>
          <w:sz w:val="20"/>
        </w:rPr>
        <w:t>生成训练窗口并参与梯度更新。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validation assembly</w:t>
      </w:r>
      <w:r>
        <w:rPr>
          <w:rFonts w:ascii="Arial" w:hAnsi="Arial" w:eastAsia="Microsoft YaHei"/>
          <w:color w:val="20252B"/>
          <w:sz w:val="20"/>
        </w:rPr>
        <w:t>生成固定验证窗口，用于loss、checkpoint和早停；不能用于拟合模型权重。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test assembly</w:t>
      </w:r>
      <w:r>
        <w:rPr>
          <w:rFonts w:ascii="Arial" w:hAnsi="Arial" w:eastAsia="Microsoft YaHei"/>
          <w:color w:val="20252B"/>
          <w:sz w:val="20"/>
        </w:rPr>
        <w:t>保留为阶段性审计/正式评估候选；不能参与早停。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GFF不仅用于构建下游标签，也用于预训练窗口的区域类型辅助标签。因此未来结构任务必须在assembly、同源家族和序列近重复层面去泄漏。</w:t>
      </w:r>
    </w:p>
    <w:p>
      <w:pPr>
        <w:pStyle w:val="Heading3"/>
      </w:pPr>
      <w:r>
        <w:t>4.3 全部物种组成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完整30物种逐项表见附录A；表中bytes来自压缩下载artifact。</w:t>
      </w:r>
    </w:p>
    <w:p>
      <w:pPr>
        <w:pStyle w:val="Heading2"/>
      </w:pPr>
      <w:r>
        <w:t>5. 预训练窗口数据包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84330"/>
            <wp:docPr id="2" name="Figure 2" title="预训练数据量与状态" descr="预训练数据量与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pretraining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8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图2｜预训练数据量与状态</w:t>
      </w:r>
    </w:p>
    <w:p>
      <w:pPr>
        <w:sectPr>
          <w:headerReference w:type="default" r:id="rId9"/>
          <w:footerReference w:type="default" r:id="rId10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3"/>
      </w:pPr>
      <w:r>
        <w:t>5.1 四阶段总量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942"/>
        <w:gridCol w:w="4476"/>
        <w:gridCol w:w="1060"/>
        <w:gridCol w:w="942"/>
        <w:gridCol w:w="1060"/>
        <w:gridCol w:w="1413"/>
        <w:gridCol w:w="824"/>
        <w:gridCol w:w="4476"/>
      </w:tblGrid>
      <w:tr>
        <w:trPr>
          <w:cantSplit/>
          <w:tblHeader w:val="true"/>
        </w:trPr>
        <w:tc>
          <w:tcPr>
            <w:tcW w:type="dxa" w:w="9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447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执行状态</w:t>
            </w:r>
          </w:p>
        </w:tc>
        <w:tc>
          <w:tcPr>
            <w:tcW w:type="dxa" w:w="106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总窗口</w:t>
            </w:r>
          </w:p>
        </w:tc>
        <w:tc>
          <w:tcPr>
            <w:tcW w:type="dxa" w:w="9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总碱基token</w:t>
            </w:r>
          </w:p>
        </w:tc>
        <w:tc>
          <w:tcPr>
            <w:tcW w:type="dxa" w:w="106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train窗口</w:t>
            </w:r>
          </w:p>
        </w:tc>
        <w:tc>
          <w:tcPr>
            <w:tcW w:type="dxa" w:w="14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validation窗口</w:t>
            </w:r>
          </w:p>
        </w:tc>
        <w:tc>
          <w:tcPr>
            <w:tcW w:type="dxa" w:w="82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test窗口</w:t>
            </w:r>
          </w:p>
        </w:tc>
        <w:tc>
          <w:tcPr>
            <w:tcW w:type="dxa" w:w="447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context窗口组成</w:t>
            </w:r>
          </w:p>
        </w:tc>
      </w:tr>
      <w:tr>
        <w:trPr>
          <w:cantSplit/>
        </w:trPr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Stage_B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completed_early_stop_step17000_selected_step14000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5,594,781</w:t>
            </w:r>
          </w:p>
        </w:tc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41.243B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5,485,240</w:t>
            </w:r>
          </w:p>
        </w:tc>
        <w:tc>
          <w:tcPr>
            <w:tcW w:type="dxa" w:w="14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54,695</w:t>
            </w:r>
          </w:p>
        </w:tc>
        <w:tc>
          <w:tcPr>
            <w:tcW w:type="dxa" w:w="8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54,846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4096:1494149;8192:3913853;16384:186779</w:t>
            </w:r>
          </w:p>
        </w:tc>
      </w:tr>
      <w:tr>
        <w:trPr>
          <w:cantSplit/>
        </w:trPr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Stage_C1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partial_graceful_stop_step569_no_validation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779,304</w:t>
            </w:r>
          </w:p>
        </w:tc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20.470B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764,070</w:t>
            </w:r>
          </w:p>
        </w:tc>
        <w:tc>
          <w:tcPr>
            <w:tcW w:type="dxa" w:w="14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7,576</w:t>
            </w:r>
          </w:p>
        </w:tc>
        <w:tc>
          <w:tcPr>
            <w:tcW w:type="dxa" w:w="8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7,658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4096:186779;8192:280160;16384:46705;32768:23360;65536:242300</w:t>
            </w:r>
          </w:p>
        </w:tc>
      </w:tr>
      <w:tr>
        <w:trPr>
          <w:cantSplit/>
        </w:trPr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Stage_C2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data_ready_training_not_started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101,293</w:t>
            </w:r>
          </w:p>
        </w:tc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6.898B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99,316</w:t>
            </w:r>
          </w:p>
        </w:tc>
        <w:tc>
          <w:tcPr>
            <w:tcW w:type="dxa" w:w="14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970</w:t>
            </w:r>
          </w:p>
        </w:tc>
        <w:tc>
          <w:tcPr>
            <w:tcW w:type="dxa" w:w="8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1,007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8192:31138;16384:15576;65536:11686;131072:42893</w:t>
            </w:r>
          </w:p>
        </w:tc>
      </w:tr>
      <w:tr>
        <w:trPr>
          <w:cantSplit/>
        </w:trPr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Stage_D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data_ready_training_not_started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18,400</w:t>
            </w:r>
          </w:p>
        </w:tc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2.778B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18,040</w:t>
            </w:r>
          </w:p>
        </w:tc>
        <w:tc>
          <w:tcPr>
            <w:tcW w:type="dxa" w:w="14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176</w:t>
            </w:r>
          </w:p>
        </w:tc>
        <w:tc>
          <w:tcPr>
            <w:tcW w:type="dxa" w:w="8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184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8192:6236;65536:787;131072:2344;262144:9033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5.2 精确split token量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253"/>
        <w:gridCol w:w="2192"/>
        <w:gridCol w:w="2506"/>
        <w:gridCol w:w="1723"/>
        <w:gridCol w:w="2192"/>
      </w:tblGrid>
      <w:tr>
        <w:trPr>
          <w:cantSplit/>
          <w:tblHeader w:val="true"/>
        </w:trPr>
        <w:tc>
          <w:tcPr>
            <w:tcW w:type="dxa" w:w="125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21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train token</w:t>
            </w:r>
          </w:p>
        </w:tc>
        <w:tc>
          <w:tcPr>
            <w:tcW w:type="dxa" w:w="250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validation token</w:t>
            </w:r>
          </w:p>
        </w:tc>
        <w:tc>
          <w:tcPr>
            <w:tcW w:type="dxa" w:w="172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test token</w:t>
            </w:r>
          </w:p>
        </w:tc>
        <w:tc>
          <w:tcPr>
            <w:tcW w:type="dxa" w:w="21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全部token</w:t>
            </w:r>
          </w:p>
        </w:tc>
      </w:tr>
      <w:tr>
        <w:trPr>
          <w:cantSplit/>
        </w:trPr>
        <w:tc>
          <w:tcPr>
            <w:tcW w:type="dxa" w:w="12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40,435,101,696</w:t>
            </w:r>
          </w:p>
        </w:tc>
        <w:tc>
          <w:tcPr>
            <w:tcW w:type="dxa" w:w="25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403,083,264</w:t>
            </w:r>
          </w:p>
        </w:tc>
        <w:tc>
          <w:tcPr>
            <w:tcW w:type="dxa" w:w="17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404,320,256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41,242,505,216</w:t>
            </w:r>
          </w:p>
        </w:tc>
      </w:tr>
      <w:tr>
        <w:trPr>
          <w:cantSplit/>
        </w:trPr>
        <w:tc>
          <w:tcPr>
            <w:tcW w:type="dxa" w:w="12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20,073,304,064</w:t>
            </w:r>
          </w:p>
        </w:tc>
        <w:tc>
          <w:tcPr>
            <w:tcW w:type="dxa" w:w="25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195,743,744</w:t>
            </w:r>
          </w:p>
        </w:tc>
        <w:tc>
          <w:tcPr>
            <w:tcW w:type="dxa" w:w="17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201,117,696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20,470,165,504</w:t>
            </w:r>
          </w:p>
        </w:tc>
      </w:tr>
      <w:tr>
        <w:trPr>
          <w:cantSplit/>
        </w:trPr>
        <w:tc>
          <w:tcPr>
            <w:tcW w:type="dxa" w:w="12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6,766,624,768</w:t>
            </w:r>
          </w:p>
        </w:tc>
        <w:tc>
          <w:tcPr>
            <w:tcW w:type="dxa" w:w="25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63,365,120</w:t>
            </w:r>
          </w:p>
        </w:tc>
        <w:tc>
          <w:tcPr>
            <w:tcW w:type="dxa" w:w="17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68,214,784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6,898,204,672</w:t>
            </w:r>
          </w:p>
        </w:tc>
      </w:tr>
      <w:tr>
        <w:trPr>
          <w:cantSplit/>
        </w:trPr>
        <w:tc>
          <w:tcPr>
            <w:tcW w:type="dxa" w:w="12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2,726,723,584</w:t>
            </w:r>
          </w:p>
        </w:tc>
        <w:tc>
          <w:tcPr>
            <w:tcW w:type="dxa" w:w="25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24,510,464</w:t>
            </w:r>
          </w:p>
        </w:tc>
        <w:tc>
          <w:tcPr>
            <w:tcW w:type="dxa" w:w="17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26,607,616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2,777,841,664</w:t>
            </w:r>
          </w:p>
        </w:tc>
      </w:tr>
    </w:tbl>
    <w:p>
      <w:pPr>
        <w:spacing w:after="20"/>
      </w:pPr>
    </w:p>
    <w:p>
      <w:pPr>
        <w:pStyle w:val="Heading3"/>
      </w:pPr>
      <w:r>
        <w:t>5.3 区域类型组成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区域标签固定为7类：background、coding、gene_body、promoter、splice、tes、utr。窗口总数按区域为：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716"/>
        <w:gridCol w:w="8150"/>
      </w:tblGrid>
      <w:tr>
        <w:trPr>
          <w:cantSplit/>
          <w:tblHeader w:val="true"/>
        </w:trPr>
        <w:tc>
          <w:tcPr>
            <w:tcW w:type="dxa" w:w="17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81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区域窗口组成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background:223487;coding:1790629;gene_body:559494;promoter:783111;splice:1175065;tes:447604;utr:615391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background:31122;coding:249390;gene_body:77931;promoter:109128;splice:163650;tes:62340;utr:85743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background:4045;coding:32425;gene_body:10127;promoter:14175;splice:21286;tes:8094;utr:11141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background:742;coding:5880;gene_body:1842;promoter:2578;splice:3868;tes:1470;utr:2020</w:t>
            </w:r>
          </w:p>
        </w:tc>
      </w:tr>
    </w:tbl>
    <w:p>
      <w:pPr>
        <w:spacing w:after="20"/>
      </w:pPr>
    </w:p>
    <w:p>
      <w:pPr>
        <w:pStyle w:val="Heading3"/>
      </w:pPr>
      <w:r>
        <w:t>5.4 采样和“epoch”的正确解释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训练集是无限</w:t>
      </w:r>
      <w:r>
        <w:rPr>
          <w:rFonts w:ascii="Consolas" w:hAnsi="Consolas" w:eastAsia="Microsoft YaHei"/>
          <w:color w:val="183153"/>
          <w:sz w:val="19"/>
        </w:rPr>
        <w:t>IterableDataset</w:t>
      </w:r>
      <w:r>
        <w:rPr>
          <w:rFonts w:ascii="Arial" w:hAnsi="Arial" w:eastAsia="Microsoft YaHei"/>
          <w:color w:val="20252B"/>
          <w:sz w:val="21"/>
        </w:rPr>
        <w:t>：先按shard窗口数加权采样shard，再在shard内有放回抽取窗口，并以0.5概率做RC增强。因此训练没有传统DataLoader epoch。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step14000累计约503,000个Stage B窗口，约为训练池的0.0917 epoch-equivalent；估计约3.708B碱基token，约10.03 token/参数。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step17000累计约611,000个窗口，约0.1114 epoch-equivalent；估计约4.504B token，约12.19 token/参数。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Stage B大约要到step152,396才相当于抽取一遍训练窗口池；当前最大步数50,000本来也不足一遍。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Stage C1 step569抽取72,832个窗口，约为C1训练池的0.0953 epoch-equivalent；但只完成计划180,000步的0.316%，且仍处在6,000步warmup内。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结论：没到1个epoch不等于没有学到有效表示，但不能宣称语料被完整遍历；Stage C1更不能视为完成。</w:t>
      </w:r>
    </w:p>
    <w:p>
      <w:pPr>
        <w:pStyle w:val="Heading2"/>
      </w:pPr>
      <w:r>
        <w:t>6. 模型架构详解</w:t>
      </w:r>
    </w:p>
    <w:p>
      <w:pPr>
        <w:pStyle w:val="Heading3"/>
      </w:pPr>
      <w:r>
        <w:t>6.1 总体结构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当前模型实际有</w:t>
      </w:r>
      <w:r>
        <w:rPr>
          <w:rFonts w:ascii="Arial" w:hAnsi="Arial" w:eastAsia="Microsoft YaHei"/>
          <w:b/>
          <w:color w:val="20252B"/>
          <w:sz w:val="21"/>
        </w:rPr>
        <w:t>369,505,287个trainable parameters</w:t>
      </w:r>
      <w:r>
        <w:rPr>
          <w:rFonts w:ascii="Arial" w:hAnsi="Arial" w:eastAsia="Microsoft YaHei"/>
          <w:color w:val="20252B"/>
          <w:sz w:val="21"/>
        </w:rPr>
        <w:t>。输入采用字符级7-token词表：A、C、G、T、N、MASK、PAD；隐藏维度1,024。主干由32个HyenaLite块和8个局部注意力插入块构成，总执行深度40个块。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21"/>
        <w:gridCol w:w="1565"/>
        <w:gridCol w:w="2586"/>
        <w:gridCol w:w="2109"/>
        <w:gridCol w:w="2586"/>
      </w:tblGrid>
      <w:tr>
        <w:trPr>
          <w:cantSplit/>
          <w:tblHeader w:val="true"/>
        </w:trPr>
        <w:tc>
          <w:tcPr>
            <w:tcW w:type="dxa" w:w="102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156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25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数值</w:t>
            </w:r>
          </w:p>
        </w:tc>
        <w:tc>
          <w:tcPr>
            <w:tcW w:type="dxa" w:w="21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实现状态</w:t>
            </w:r>
          </w:p>
        </w:tc>
        <w:tc>
          <w:tcPr>
            <w:tcW w:type="dxa" w:w="25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model_total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trainable_parameters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369505287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measured_from_training_runtime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实际可训练参数总数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tokenizer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vocabulary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A,C,G,T,N,MASK,PAD (7)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单碱基字符级输入；输出头预测A/C/G/T/N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embedding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d_model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1024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每个位置1024维隐藏表示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backbone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HyenaLite_blocks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线性复杂度局部卷积门控块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expand/kernel/mlp_ratio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 / 127 / 1.25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通道扩展、深度卷积核、SwiGLU前馈宽度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insertions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 (after every 4 HyenaLite blocks)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总执行块数40=32+8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heads/chunk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 heads / 512 positions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每个注意力子块在重排后的512位置组内计算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dilations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1,2,4,8,16,32,64,128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implemented_in_C1_config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逐层扩大跨chunk依赖跨度且不新增参数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normalization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RMSNorm eps=1e-6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稳定长序列训练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regularization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dropout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0.05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Hyena、注意力和前馈残差dropout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strand_symmetry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RC_equivariance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direct+reverse-complement dual pass, aligned average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正向与反向互补预测/隐藏表示对齐后平均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MLM_head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output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 nucleotide classes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只预测A/C/G/T/N，不预测MASK/PAD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region_head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classes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background,coding,gene_body,promoter,splice,tes,utr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memory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gradient_checkpointing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true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以额外计算换显存，支持64K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Stage_B_evaluated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 bp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completed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冻结step14000基座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Stage_C1_gate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65536 bp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gate_pass_partial_training_only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单步前向/反向/optimizer通过；正式训练仅到step569</w:t>
            </w:r>
          </w:p>
        </w:tc>
      </w:tr>
    </w:tbl>
    <w:p>
      <w:pPr>
        <w:spacing w:after="20"/>
      </w:pPr>
    </w:p>
    <w:p>
      <w:pPr>
        <w:pStyle w:val="Heading3"/>
      </w:pPr>
      <w:r>
        <w:t>6.2 HyenaLite块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每个HyenaLite块先RMSNorm，再把通道扩展为2倍并分成内容/门控两支；内容支经过kernel=127的depthwise 1D卷积，和SiLU门控相乘后投回1,024维，最后接SwiGLU前馈残差。该实现是“HyenaLite”，不是完整长隐式滤波Hyena；单块主要提供局部卷积建模，长程依赖还依赖层叠与稀疏注意力。</w:t>
      </w:r>
    </w:p>
    <w:p>
      <w:pPr>
        <w:pStyle w:val="Heading3"/>
      </w:pPr>
      <w:r>
        <w:t>6.3 局部扩张注意力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每4个HyenaLite块插入1个attention块，共8个。attention有8头，每组最多512个位置。Stage C1配置把8个attention插入依次设为dilation 1、2、4、8、16、32、64、128：先按步长重排位置，再在每个512位置组内注意，从而用近线性开销跨更远距离。dilation不增加参数，但改变计算拓扑，所以Stage B和C1不是完全相同的前向图。</w:t>
      </w:r>
    </w:p>
    <w:p>
      <w:pPr>
        <w:pStyle w:val="Heading3"/>
      </w:pPr>
      <w:r>
        <w:t>6.4 RC等变设计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模型分别处理原序列和反向互补序列，把RC输出翻转回原坐标，并把A↔T、C↔G的类别通道对齐，再平均logits和hidden state。这样获得方向稳健性，但近似使一次样本进行两次主干forward，训练成本也近似翻倍。</w:t>
      </w:r>
    </w:p>
    <w:p>
      <w:pPr>
        <w:pStyle w:val="Heading3"/>
      </w:pPr>
      <w:r>
        <w:t>6.5 三个输出用途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MLM head：</w:t>
      </w:r>
      <w:r>
        <w:rPr>
          <w:rFonts w:ascii="Arial" w:hAnsi="Arial" w:eastAsia="Microsoft YaHei"/>
          <w:color w:val="20252B"/>
          <w:sz w:val="20"/>
        </w:rPr>
        <w:t xml:space="preserve"> 每个位置输出A/C/G/T/N五类，用于遮盖碱基恢复。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Region head：</w:t>
      </w:r>
      <w:r>
        <w:rPr>
          <w:rFonts w:ascii="Arial" w:hAnsi="Arial" w:eastAsia="Microsoft YaHei"/>
          <w:color w:val="20252B"/>
          <w:sz w:val="20"/>
        </w:rPr>
        <w:t xml:space="preserve"> 对全序列池化后预测7类窗口来源区域，是窗口级辅助任务，不是逐碱基标注。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Frozen embedding：</w:t>
      </w:r>
      <w:r>
        <w:rPr>
          <w:rFonts w:ascii="Arial" w:hAnsi="Arial" w:eastAsia="Microsoft YaHei"/>
          <w:color w:val="20252B"/>
          <w:sz w:val="20"/>
        </w:rPr>
        <w:t xml:space="preserve"> 正式下游冻结encoder，用简单线性/岭回归probe比较不同基础模型的表示质量。</w:t>
      </w:r>
    </w:p>
    <w:p>
      <w:pPr>
        <w:pStyle w:val="Heading2"/>
      </w:pPr>
      <w:r>
        <w:t>7. 预训练任务与损失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当前已实现总损失可写为</w:t>
      </w:r>
      <w:r>
        <w:rPr>
          <w:rFonts w:ascii="Consolas" w:hAnsi="Consolas" w:eastAsia="Microsoft YaHei"/>
          <w:color w:val="183153"/>
          <w:sz w:val="19"/>
        </w:rPr>
        <w:t>L_total = L_MLM + 0.02×L_RC + 0.05×L_region</w:t>
      </w:r>
      <w:r>
        <w:rPr>
          <w:rFonts w:ascii="Arial" w:hAnsi="Arial" w:eastAsia="Microsoft YaHei"/>
          <w:color w:val="20252B"/>
          <w:sz w:val="21"/>
        </w:rPr>
        <w:t>。其中MLM提供主要逐碱基自监督信号；RC项约束正向与反向互补路径对齐；region项是弱监督窗口分类。具体0.02和0.05是当前实现实例，不应被理解为所有后续模型不可改变的常数。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Stage B的selection loss只组合MLM与RC项，没有让region分类直接决定最佳checkpoint，避免辅助标签主导模型选择。下表明确区分</w:t>
      </w:r>
      <w:r>
        <w:rPr>
          <w:rFonts w:ascii="Consolas" w:hAnsi="Consolas" w:eastAsia="Microsoft YaHei"/>
          <w:color w:val="183153"/>
          <w:sz w:val="19"/>
        </w:rPr>
        <w:t>current/implemented</w:t>
      </w:r>
      <w:r>
        <w:rPr>
          <w:rFonts w:ascii="Arial" w:hAnsi="Arial" w:eastAsia="Microsoft YaHei"/>
          <w:color w:val="20252B"/>
          <w:sz w:val="21"/>
        </w:rPr>
        <w:t>与</w:t>
      </w:r>
      <w:r>
        <w:rPr>
          <w:rFonts w:ascii="Consolas" w:hAnsi="Consolas" w:eastAsia="Microsoft YaHei"/>
          <w:color w:val="183153"/>
          <w:sz w:val="19"/>
        </w:rPr>
        <w:t>recommended_v3/not_implemented</w:t>
      </w:r>
      <w:r>
        <w:rPr>
          <w:rFonts w:ascii="Arial" w:hAnsi="Arial" w:eastAsia="Microsoft YaHei"/>
          <w:color w:val="20252B"/>
          <w:sz w:val="21"/>
        </w:rPr>
        <w:t>：后三项只是下一版候选目标，没有当前训练曲线、checkpoint或下游性能。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844"/>
        <w:gridCol w:w="1033"/>
        <w:gridCol w:w="2803"/>
        <w:gridCol w:w="2803"/>
        <w:gridCol w:w="2065"/>
        <w:gridCol w:w="1033"/>
        <w:gridCol w:w="1106"/>
        <w:gridCol w:w="2508"/>
      </w:tblGrid>
      <w:tr>
        <w:trPr>
          <w:cantSplit/>
          <w:tblHeader w:val="true"/>
        </w:trPr>
        <w:tc>
          <w:tcPr>
            <w:tcW w:type="dxa" w:w="184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目标</w:t>
            </w:r>
          </w:p>
        </w:tc>
        <w:tc>
          <w:tcPr>
            <w:tcW w:type="dxa" w:w="10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版本</w:t>
            </w:r>
          </w:p>
        </w:tc>
        <w:tc>
          <w:tcPr>
            <w:tcW w:type="dxa" w:w="28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预测内容</w:t>
            </w:r>
          </w:p>
        </w:tc>
        <w:tc>
          <w:tcPr>
            <w:tcW w:type="dxa" w:w="28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损失</w:t>
            </w:r>
          </w:p>
        </w:tc>
        <w:tc>
          <w:tcPr>
            <w:tcW w:type="dxa" w:w="206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权重</w:t>
            </w:r>
          </w:p>
        </w:tc>
        <w:tc>
          <w:tcPr>
            <w:tcW w:type="dxa" w:w="10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用于checkpoint选择</w:t>
            </w:r>
          </w:p>
        </w:tc>
        <w:tc>
          <w:tcPr>
            <w:tcW w:type="dxa" w:w="110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状态</w:t>
            </w:r>
          </w:p>
        </w:tc>
        <w:tc>
          <w:tcPr>
            <w:tcW w:type="dxa" w:w="25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解释边界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MLM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随机遮盖15%的有效A/C/G/T位置并恢复原碱基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cross-entropy over masked positions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1.0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yes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自监督序列建模，不直接等于功能标签</w:t>
            </w:r>
          </w:p>
        </w:tc>
      </w:tr>
      <w:tr>
        <w:trPr>
          <w:cantSplit/>
        </w:trPr>
        <w:tc>
          <w:tcPr>
            <w:tcW w:type="dxa" w:w="184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RC-consistency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正向与反向互补方向的对齐分布一致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symmetric KL divergence over valid positions</w:t>
            </w:r>
          </w:p>
        </w:tc>
        <w:tc>
          <w:tcPr>
            <w:tcW w:type="dxa" w:w="20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0.02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0.02</w:t>
            </w:r>
          </w:p>
        </w:tc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implemented</w:t>
            </w:r>
          </w:p>
        </w:tc>
        <w:tc>
          <w:tcPr>
            <w:tcW w:type="dxa" w:w="25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主要验证链方向稳健性；random-init也可能因结构获得一致性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region-classification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每个窗口的7类来源区域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label-smoothed cross-entropy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窗口级辅助标签，不是逐碱基结构标注</w:t>
            </w:r>
          </w:p>
        </w:tc>
      </w:tr>
      <w:tr>
        <w:trPr>
          <w:cantSplit/>
        </w:trPr>
        <w:tc>
          <w:tcPr>
            <w:tcW w:type="dxa" w:w="184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token-region-segmentation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逐碱基/分块预测promoter/UTR/CDS/intron/splice/TES/background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class-balanced focal or cross-entropy + Dice</w:t>
            </w:r>
          </w:p>
        </w:tc>
        <w:tc>
          <w:tcPr>
            <w:tcW w:type="dxa" w:w="20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 by validation-only pilot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必须对预训练与下游benchmark标签来源做隔离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boundary-distance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到TSS/TES/splice/TE边界的有符号距离或区间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Huber + boundary classification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只用train assemblies生成标签</w:t>
            </w:r>
          </w:p>
        </w:tc>
      </w:tr>
      <w:tr>
        <w:trPr>
          <w:cantSplit/>
        </w:trPr>
        <w:tc>
          <w:tcPr>
            <w:tcW w:type="dxa" w:w="184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multi-context-consistency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同一中心位点在1K/8K/32K/64K/128K上下文保持局部表示一致，同时允许远端全局表示增益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stop-gradient contrastive/cosine consistency</w:t>
            </w:r>
          </w:p>
        </w:tc>
        <w:tc>
          <w:tcPr>
            <w:tcW w:type="dxa" w:w="20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不能强迫所有层完全相同而抹除长程信息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allele-pair-contrastive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同一locus ref/alt或同源单倍型的表示差异与真实序列变化对应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contrastive + delta reconstruction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若使用功能效应标签则属于监督适配，不得混入相同formal test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7.1 MLM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有效A/C/G/T位置以15%概率被选中：80%替换成MASK、10%替换成随机A/C/G/T/N、10%保持原字符。交叉熵只在被选择位置计算。每个样本至少强制一个mask，避免短序列没有监督。</w:t>
      </w:r>
    </w:p>
    <w:p>
      <w:pPr>
        <w:pStyle w:val="Heading3"/>
      </w:pPr>
      <w:r>
        <w:t>7.2 RC一致性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在所有有效位置计算正向分布与RC对齐分布的双向KL平均：它约束两条链方向的预测一致。需要注意，架构本身已经做RC平均，random-init也可能显示一定一致性；必须用下游性能而非单一RC loss证明生物学价值。</w:t>
      </w:r>
    </w:p>
    <w:p>
      <w:pPr>
        <w:pStyle w:val="Heading3"/>
      </w:pPr>
      <w:r>
        <w:t>7.3 区域分类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对有区域标签的窗口计算带0.05 label smoothing的7分类交叉熵。Stage B总loss为</w:t>
      </w:r>
      <w:r>
        <w:rPr>
          <w:rFonts w:ascii="Consolas" w:hAnsi="Consolas" w:eastAsia="Microsoft YaHei"/>
          <w:color w:val="183153"/>
          <w:sz w:val="19"/>
        </w:rPr>
        <w:t>1.0×MLM + 0.02×RC + 0.05×region</w:t>
      </w:r>
      <w:r>
        <w:rPr>
          <w:rFonts w:ascii="Arial" w:hAnsi="Arial" w:eastAsia="Microsoft YaHei"/>
          <w:color w:val="20252B"/>
          <w:sz w:val="21"/>
        </w:rPr>
        <w:t>；早停selection loss只用</w:t>
      </w:r>
      <w:r>
        <w:rPr>
          <w:rFonts w:ascii="Consolas" w:hAnsi="Consolas" w:eastAsia="Microsoft YaHei"/>
          <w:color w:val="183153"/>
          <w:sz w:val="19"/>
        </w:rPr>
        <w:t>MLM + 0.02×RC</w:t>
      </w:r>
      <w:r>
        <w:rPr>
          <w:rFonts w:ascii="Arial" w:hAnsi="Arial" w:eastAsia="Microsoft YaHei"/>
          <w:color w:val="20252B"/>
          <w:sz w:val="21"/>
        </w:rPr>
        <w:t>，避免辅助region头主导基座选择。</w:t>
      </w:r>
    </w:p>
    <w:p>
      <w:pPr>
        <w:pStyle w:val="Heading2"/>
      </w:pPr>
      <w:r>
        <w:t>8. 训练超参数、验证与当前终态</w:t>
      </w:r>
    </w:p>
    <w:p>
      <w:pPr>
        <w:pStyle w:val="Heading3"/>
      </w:pPr>
      <w:r>
        <w:t>8.1 Stage B 8K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计划50,000 optimizer steps；前1,000步micro-batch=5、gradient accumulation=7，之后为4×9。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AdamW：peak LR=1e-4、min LR=1e-5、weight decay=0.1、1,000步warmup、bf16。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每1,000步固定validation 64 batches并保存checkpoint。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早停：最早5,000步；patience=3次验证；min_delta=0.002。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validation最佳为step14000；step17000的selection loss虽略低，但相对最佳改善小于min_delta，连续3次未达到显著改善，故早停。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正式主模型固定step14000；step17000只保留作sensitivity，不可事后替换主结论。</w:t>
      </w:r>
    </w:p>
    <w:p>
      <w:pPr>
        <w:pStyle w:val="Heading3"/>
      </w:pPr>
      <w:r>
        <w:t>8.2 Stage C1 64K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从Stage B step14000权重启动新阶段；micro-batch=1、accumulation=128。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计划180,000步；peak LR=1.2e-4、min LR=1.2e-5、warmup=6,000、validation every 1,500 steps×256 batches。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要求dry-run必须抽到真实65,536 bp样本；gradient checkpointing开启。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正式run收到SIGTERM后优雅停在step569并保存interrupted checkpoint；没有到step1500，所以没有任何C1 validation结果。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旧phase-transition配置设</w:t>
      </w:r>
      <w:r>
        <w:rPr>
          <w:rFonts w:ascii="Consolas" w:hAnsi="Consolas" w:eastAsia="Microsoft YaHei"/>
          <w:color w:val="183153"/>
          <w:sz w:val="19"/>
        </w:rPr>
        <w:t>resume_optimizer=false</w:t>
      </w:r>
      <w:r>
        <w:rPr>
          <w:rFonts w:ascii="Arial" w:hAnsi="Arial" w:eastAsia="Microsoft YaHei"/>
          <w:color w:val="20252B"/>
          <w:sz w:val="20"/>
        </w:rPr>
        <w:t>和</w:t>
      </w:r>
      <w:r>
        <w:rPr>
          <w:rFonts w:ascii="Consolas" w:hAnsi="Consolas" w:eastAsia="Microsoft YaHei"/>
          <w:color w:val="183153"/>
          <w:sz w:val="19"/>
        </w:rPr>
        <w:t>reset_step_on_resume=true</w:t>
      </w:r>
      <w:r>
        <w:rPr>
          <w:rFonts w:ascii="Arial" w:hAnsi="Arial" w:eastAsia="Microsoft YaHei"/>
          <w:color w:val="20252B"/>
          <w:sz w:val="20"/>
        </w:rPr>
        <w:t>；若未来要从step569“精确续训”，必须另行冻结明确的optimizer/step恢复合同，不能直接把旧默认当精确resume。</w:t>
      </w:r>
    </w:p>
    <w:p>
      <w:pPr>
        <w:pStyle w:val="Heading3"/>
      </w:pPr>
      <w:r>
        <w:t>8.3 Stage C2/D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C2旧配置为90,000步、1×128、LR 8e-5、context最高128K；D旧配置为45,000步、1×128、LR 5e-5、context最高256K。两者都未启动，旧配置只能视为草案，不应在没有真实H20 preflight和P0下游任务前直接执行。</w:t>
      </w:r>
    </w:p>
    <w:p>
      <w:pPr>
        <w:pStyle w:val="Heading2"/>
      </w:pPr>
      <w:r>
        <w:t>9. 下游评估总原则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encoder全部冻结，只拟合线性分类或ridge regression；这比较“表示可用性”，不是完整fine-tuning上限。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超参数只能由validation选择，test不参与选择。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同一模型必须先通过zero-truncation：如果tokenizer产生的token数超过模型上限，该模型在该任务/上下文记为N/E，不允许静默截断。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核心三任务使用完全相同的样本身份做512/2,048/8,192中心裁剪，保证context比较不换样本。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正式主指标：二分类AUPRC；表达回归macro Pearson。AUROC、Spearman、R²、MAE是支持指标。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核心任务有5个probe seeds。外部二分类任务有5个probe seeds（13/29/47/71/101），full-data结果在现有实现下完全相同；五个表达回归任务使用确定性ridge并只保留seed 13。回归任务仍不能宣称多seed稳定性。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checkpoint候选先在validation-only诊断上筛；formal test不按每个checkpoint重复跑，避免测试集泄漏。</w:t>
      </w:r>
    </w:p>
    <w:p>
      <w:pPr>
        <w:pStyle w:val="Heading2"/>
      </w:pPr>
      <w:r>
        <w:t>10. 核心正式任务：CropGenome-Bench-v1</w:t>
      </w:r>
    </w:p>
    <w:p>
      <w:pPr>
        <w:pStyle w:val="Heading3"/>
      </w:pPr>
      <w:r>
        <w:t>10.1 数据构建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三项任务都从原始FASTA和GFF/GTF坐标构建，不使用Stage B的proxy label。每任务每个context有6,144个样本：train 4,096、validation 1,024、test 1,024；每个split正负1:1。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512"/>
        <w:gridCol w:w="2448"/>
        <w:gridCol w:w="1440"/>
        <w:gridCol w:w="504"/>
        <w:gridCol w:w="720"/>
        <w:gridCol w:w="504"/>
        <w:gridCol w:w="2737"/>
      </w:tblGrid>
      <w:tr>
        <w:trPr>
          <w:cantSplit/>
          <w:tblHeader w:val="true"/>
        </w:trPr>
        <w:tc>
          <w:tcPr>
            <w:tcW w:type="dxa" w:w="15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24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标签来源</w:t>
            </w:r>
          </w:p>
        </w:tc>
        <w:tc>
          <w:tcPr>
            <w:tcW w:type="dxa" w:w="14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nested窗口</w:t>
            </w:r>
          </w:p>
        </w:tc>
        <w:tc>
          <w:tcPr>
            <w:tcW w:type="dxa" w:w="50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train</w:t>
            </w:r>
          </w:p>
        </w:tc>
        <w:tc>
          <w:tcPr>
            <w:tcW w:type="dxa" w:w="72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50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test</w:t>
            </w:r>
          </w:p>
        </w:tc>
        <w:tc>
          <w:tcPr>
            <w:tcW w:type="dxa" w:w="273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hard negative定义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splice_donor_acceptor</w:t>
            </w:r>
          </w:p>
        </w:tc>
        <w:tc>
          <w:tcPr>
            <w:tcW w:type="dxa" w:w="24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raw GFF/GTF coordinates plus FASTA</w:t>
            </w:r>
          </w:p>
        </w:tc>
        <w:tc>
          <w:tcPr>
            <w:tcW w:type="dxa" w:w="14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512;2048;8192 nested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7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 canonical GT/AG motif inside annotated introns, away from annotated junctions</w:t>
            </w:r>
          </w:p>
        </w:tc>
      </w:tr>
      <w:tr>
        <w:trPr>
          <w:cantSplit/>
        </w:trPr>
        <w:tc>
          <w:tcPr>
            <w:tcW w:type="dxa" w:w="15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promoter_TSS</w:t>
            </w:r>
          </w:p>
        </w:tc>
        <w:tc>
          <w:tcPr>
            <w:tcW w:type="dxa" w:w="24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raw GFF/GTF coordinates plus FASTA</w:t>
            </w:r>
          </w:p>
        </w:tc>
        <w:tc>
          <w:tcPr>
            <w:tcW w:type="dxa" w:w="14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512;2048;8192 nested</w:t>
            </w:r>
          </w:p>
        </w:tc>
        <w:tc>
          <w:tcPr>
            <w:tcW w:type="dxa" w:w="50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7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50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same-assembly shifted upstream promoter decoy, excluding annotated gene boundaries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TES_polyA</w:t>
            </w:r>
          </w:p>
        </w:tc>
        <w:tc>
          <w:tcPr>
            <w:tcW w:type="dxa" w:w="24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raw GFF/GTF coordinates plus FASTA</w:t>
            </w:r>
          </w:p>
        </w:tc>
        <w:tc>
          <w:tcPr>
            <w:tcW w:type="dxa" w:w="14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512;2048;8192 nested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7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same-assembly shifted downstream decoy, excluding annotated gene boundaries</w:t>
            </w:r>
          </w:p>
        </w:tc>
      </w:tr>
    </w:tbl>
    <w:p>
      <w:pPr>
        <w:spacing w:after="20"/>
      </w:pPr>
    </w:p>
    <w:p>
      <w:pPr>
        <w:pStyle w:val="Heading3"/>
      </w:pPr>
      <w:r>
        <w:t>10.2 split物种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train：</w:t>
      </w:r>
      <w:r>
        <w:rPr>
          <w:rFonts w:ascii="Arial" w:hAnsi="Arial" w:eastAsia="Microsoft YaHei"/>
          <w:color w:val="20252B"/>
          <w:sz w:val="20"/>
        </w:rPr>
        <w:t xml:space="preserve"> Prunus persica、Setaria italica、Sorghum bicolor、Vigna radiata、Vitis vinifera；promoter/TES另含Brassica rapa。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validation：</w:t>
      </w:r>
      <w:r>
        <w:rPr>
          <w:rFonts w:ascii="Arial" w:hAnsi="Arial" w:eastAsia="Microsoft YaHei"/>
          <w:color w:val="20252B"/>
          <w:sz w:val="20"/>
        </w:rPr>
        <w:t xml:space="preserve"> Beta vulgaris、Daucus carota、Manihot esculenta。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test：</w:t>
      </w:r>
      <w:r>
        <w:rPr>
          <w:rFonts w:ascii="Arial" w:hAnsi="Arial" w:eastAsia="Microsoft YaHei"/>
          <w:color w:val="20252B"/>
          <w:sz w:val="20"/>
        </w:rPr>
        <w:t xml:space="preserve"> Cucumis sativus、Oryza sativa、Solanum tuberosum。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这是下游probe的species-disjoint split；它不等于test物种从未出现在基础模型预训练中。未来“严格跨物种零样本”必须另外检查预训练manifest。</w:t>
      </w:r>
    </w:p>
    <w:p>
      <w:pPr>
        <w:pStyle w:val="Heading3"/>
      </w:pPr>
      <w:r>
        <w:t>10.3 三个任务的生物学意义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Promoter/TSS：</w:t>
      </w:r>
      <w:r>
        <w:rPr>
          <w:rFonts w:ascii="Arial" w:hAnsi="Arial" w:eastAsia="Microsoft YaHei"/>
          <w:color w:val="20252B"/>
          <w:sz w:val="20"/>
        </w:rPr>
        <w:t xml:space="preserve"> 判断窗口中心是否为注释转录起始位点。它检验启动子局部motif和更远的上游/基因背景。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TES/poly(A)：</w:t>
      </w:r>
      <w:r>
        <w:rPr>
          <w:rFonts w:ascii="Arial" w:hAnsi="Arial" w:eastAsia="Microsoft YaHei"/>
          <w:color w:val="20252B"/>
          <w:sz w:val="20"/>
        </w:rPr>
        <w:t xml:space="preserve"> 判断中心是否为转录终止/多聚腺苷酸相关末端。它检验3′端信号和下游基因组背景；GFF标签不等于实验测得的精确poly(A) cleavage site。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Splice donor/acceptor：</w:t>
      </w:r>
      <w:r>
        <w:rPr>
          <w:rFonts w:ascii="Arial" w:hAnsi="Arial" w:eastAsia="Microsoft YaHei"/>
          <w:color w:val="20252B"/>
          <w:sz w:val="20"/>
        </w:rPr>
        <w:t xml:space="preserve"> 正例是注释内含子边界，负例是内含子中相同GT/AG canonical motif但非真实边界的hard decoy。这避免模型只记“GT/AG”捷径。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GC均值按任务/split匹配，跨split坐标不重复，N比例≤5%。</w:t>
      </w:r>
    </w:p>
    <w:p>
      <w:pPr>
        <w:pStyle w:val="Heading3"/>
      </w:pPr>
      <w:r>
        <w:t>10.4 下游科、属、种独立性与预训练交叉审计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“下游test物种不在下游train”与“基础模型预训练从未见过这个物种”是两件不同的事。本次更新直接读取核心3任务在8,192 bp下的</w:t>
      </w:r>
      <w:r>
        <w:rPr>
          <w:rFonts w:ascii="Consolas" w:hAnsi="Consolas" w:eastAsia="Microsoft YaHei"/>
          <w:color w:val="183153"/>
          <w:sz w:val="19"/>
        </w:rPr>
        <w:t>sample.tsv</w:t>
      </w:r>
      <w:r>
        <w:rPr>
          <w:rFonts w:ascii="Arial" w:hAnsi="Arial" w:eastAsia="Microsoft YaHei"/>
          <w:color w:val="20252B"/>
          <w:sz w:val="21"/>
        </w:rPr>
        <w:t>、外部7个任务的</w:t>
      </w:r>
      <w:r>
        <w:rPr>
          <w:rFonts w:ascii="Consolas" w:hAnsi="Consolas" w:eastAsia="Microsoft YaHei"/>
          <w:color w:val="183153"/>
          <w:sz w:val="19"/>
        </w:rPr>
        <w:t>sample.tsv</w:t>
      </w:r>
      <w:r>
        <w:rPr>
          <w:rFonts w:ascii="Arial" w:hAnsi="Arial" w:eastAsia="Microsoft YaHei"/>
          <w:color w:val="20252B"/>
          <w:sz w:val="21"/>
        </w:rPr>
        <w:t>和258条canonical assembly manifest；核心512/2,048/8,192 bp使用相同样本身份。由此生成</w:t>
      </w:r>
      <w:r>
        <w:rPr>
          <w:rFonts w:ascii="Consolas" w:hAnsi="Consolas" w:eastAsia="Microsoft YaHei"/>
          <w:color w:val="183153"/>
          <w:sz w:val="19"/>
        </w:rPr>
        <w:t>source_data/downstream_taxonomy_detail.tsv</w:t>
      </w:r>
      <w:r>
        <w:rPr>
          <w:rFonts w:ascii="Arial" w:hAnsi="Arial" w:eastAsia="Microsoft YaHei"/>
          <w:color w:val="20252B"/>
          <w:sz w:val="21"/>
        </w:rPr>
        <w:t>与</w:t>
      </w:r>
      <w:r>
        <w:rPr>
          <w:rFonts w:ascii="Consolas" w:hAnsi="Consolas" w:eastAsia="Microsoft YaHei"/>
          <w:color w:val="183153"/>
          <w:sz w:val="19"/>
        </w:rPr>
        <w:t>source_data/downstream_taxonomy_summary.tsv</w:t>
      </w:r>
      <w:r>
        <w:rPr>
          <w:rFonts w:ascii="Arial" w:hAnsi="Arial" w:eastAsia="Microsoft YaHei"/>
          <w:color w:val="20252B"/>
          <w:sz w:val="21"/>
        </w:rPr>
        <w:t>。前者有71行逐任务×split×物种记录，后者是10个任务的汇总。</w:t>
      </w:r>
    </w:p>
    <w:p>
      <w:pPr>
        <w:pStyle w:val="Heading4"/>
      </w:pPr>
      <w:r>
        <w:t>10.4.1 下游监督split本身是否跨物种、属和科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4565"/>
        <w:gridCol w:w="1031"/>
        <w:gridCol w:w="1031"/>
        <w:gridCol w:w="1031"/>
        <w:gridCol w:w="2209"/>
      </w:tblGrid>
      <w:tr>
        <w:trPr>
          <w:cantSplit/>
          <w:tblHeader w:val="true"/>
        </w:trPr>
        <w:tc>
          <w:tcPr>
            <w:tcW w:type="dxa" w:w="456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面板/任务</w:t>
            </w:r>
          </w:p>
        </w:tc>
        <w:tc>
          <w:tcPr>
            <w:tcW w:type="dxa" w:w="10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下游物种互斥</w:t>
            </w:r>
          </w:p>
        </w:tc>
        <w:tc>
          <w:tcPr>
            <w:tcW w:type="dxa" w:w="10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下游属互斥</w:t>
            </w:r>
          </w:p>
        </w:tc>
        <w:tc>
          <w:tcPr>
            <w:tcW w:type="dxa" w:w="10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下游科互斥</w:t>
            </w:r>
          </w:p>
        </w:tc>
        <w:tc>
          <w:tcPr>
            <w:tcW w:type="dxa" w:w="22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test中下游train未见科</w:t>
            </w:r>
          </w:p>
        </w:tc>
      </w:tr>
      <w:tr>
        <w:trPr>
          <w:cantSplit/>
        </w:trPr>
        <w:tc>
          <w:tcPr>
            <w:tcW w:type="dxa" w:w="4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promoter_TSS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TES_polyA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splice_donor_acceptor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cassava enhancer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Arabidopsis expression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soybean expression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rice expression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tomato expression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maize expression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multispecies lncRNA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22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0/4个科</w:t>
            </w:r>
          </w:p>
        </w:tc>
      </w:tr>
    </w:tbl>
    <w:p>
      <w:pPr>
        <w:spacing w:after="20"/>
      </w:pPr>
    </w:p>
    <w:p>
      <w:pPr>
        <w:pStyle w:val="Heading4"/>
      </w:pPr>
      <w:r>
        <w:t>10.4.2 正式test相对Stage B预训练是否独立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61"/>
        <w:gridCol w:w="1843"/>
        <w:gridCol w:w="1626"/>
        <w:gridCol w:w="1518"/>
        <w:gridCol w:w="1518"/>
      </w:tblGrid>
      <w:tr>
        <w:trPr>
          <w:cantSplit/>
          <w:tblHeader w:val="true"/>
        </w:trPr>
        <w:tc>
          <w:tcPr>
            <w:tcW w:type="dxa" w:w="336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面板/任务</w:t>
            </w:r>
          </w:p>
        </w:tc>
        <w:tc>
          <w:tcPr>
            <w:tcW w:type="dxa" w:w="184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test accession隔离</w:t>
            </w:r>
          </w:p>
        </w:tc>
        <w:tc>
          <w:tcPr>
            <w:tcW w:type="dxa" w:w="162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 B未见test物种</w:t>
            </w:r>
          </w:p>
        </w:tc>
        <w:tc>
          <w:tcPr>
            <w:tcW w:type="dxa" w:w="151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 B未见test属</w:t>
            </w:r>
          </w:p>
        </w:tc>
        <w:tc>
          <w:tcPr>
            <w:tcW w:type="dxa" w:w="151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 B未见test科</w:t>
            </w:r>
          </w:p>
        </w:tc>
      </w:tr>
      <w:tr>
        <w:trPr>
          <w:cantSplit/>
        </w:trPr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promoter_TSS</w:t>
            </w:r>
          </w:p>
        </w:tc>
        <w:tc>
          <w:tcPr>
            <w:tcW w:type="dxa" w:w="18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6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TES_polyA</w:t>
            </w:r>
          </w:p>
        </w:tc>
        <w:tc>
          <w:tcPr>
            <w:tcW w:type="dxa" w:w="18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6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splice_donor_acceptor</w:t>
            </w:r>
          </w:p>
        </w:tc>
        <w:tc>
          <w:tcPr>
            <w:tcW w:type="dxa" w:w="18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6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cassava enhancer</w:t>
            </w:r>
          </w:p>
        </w:tc>
        <w:tc>
          <w:tcPr>
            <w:tcW w:type="dxa" w:w="18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Arabidopsis expression</w:t>
            </w:r>
          </w:p>
        </w:tc>
        <w:tc>
          <w:tcPr>
            <w:tcW w:type="dxa" w:w="18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1/1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1/1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soybean expression</w:t>
            </w:r>
          </w:p>
        </w:tc>
        <w:tc>
          <w:tcPr>
            <w:tcW w:type="dxa" w:w="18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rice expression</w:t>
            </w:r>
          </w:p>
        </w:tc>
        <w:tc>
          <w:tcPr>
            <w:tcW w:type="dxa" w:w="18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tomato expression</w:t>
            </w:r>
          </w:p>
        </w:tc>
        <w:tc>
          <w:tcPr>
            <w:tcW w:type="dxa" w:w="18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maize expression</w:t>
            </w:r>
          </w:p>
        </w:tc>
        <w:tc>
          <w:tcPr>
            <w:tcW w:type="dxa" w:w="18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15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multispecies lncRNA</w:t>
            </w:r>
          </w:p>
        </w:tc>
        <w:tc>
          <w:tcPr>
            <w:tcW w:type="dxa" w:w="18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无accession映射，不能审计</w:t>
            </w:r>
          </w:p>
        </w:tc>
        <w:tc>
          <w:tcPr>
            <w:tcW w:type="dxa" w:w="16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0/6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0/6</w:t>
            </w:r>
          </w:p>
        </w:tc>
        <w:tc>
          <w:tcPr>
            <w:tcW w:type="dxa" w:w="15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0/4个科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核心test物种是黄瓜、水稻和马铃薯。三个任务都满足：下游监督train/validation/test在物种和属层面互斥；test使用的三个assembly accession均未进入Stage B训练。科层面只有黄瓜的葫芦科和马铃薯的茄科相对下游train为留出，水稻与train中的谷子、高粱同属禾本科，因此整体不是family-disjoint。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相对Stage B预训练，黄瓜的同物种序列未进入train，但同属的甜瓜及同科物种进入过；水稻和马铃薯都有同物种其他assembly进入过Stage B。故准确表述是“3/3 test assembly accession隔离、1/3 test物种在预训练中未见、0/3 test属未见、0/3 test科未见”，不能统一写成“跨未见科属种零样本”。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外部7任务采用官方样本级监督划分。六个单物种任务的同一物种同时存在于train/validation/test；多物种lncRNA的6个物种也都同时存在于三个split。拟南芥没有出现在Stage B train的物种或属中，但十字花科通过Brassica出现过，而且下游ridge仍使用拟南芥train样本，所以它是“预训练未见种/属上的监督迁移”，不是零样本预测。</w:t>
      </w:r>
    </w:p>
    <w:p>
      <w:pPr>
        <w:pStyle w:val="Heading2"/>
      </w:pPr>
      <w:r>
        <w:t>11. 核心任务全部正式性能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652489"/>
            <wp:docPr id="3" name="Figure 3" title="核心任务性能" descr="核心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core_perform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52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图3｜核心任务性能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以下全部值是formal test、full-data、5个probe seeds的AUPRC均值。模型缺少某context能力时不列入该context排名。</w:t>
      </w:r>
    </w:p>
    <w:p>
      <w:pPr>
        <w:pStyle w:val="Heading4"/>
      </w:pPr>
      <w:r>
        <w:t>512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0.8526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0.8197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0.8049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0.8015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0.8328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0.8231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0.7934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0.8115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0.7958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0.7403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0.7775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0.7700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0.7037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0.7504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0.7324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0.7466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0.7734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0.7399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0.7174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0.6583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0.6531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0.6724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0.6660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0.6677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0.6141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0.6130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0.5907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0.5761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0.5826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2,048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0.9064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0.8892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0.8835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0.9016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0.8722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0.7805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0.8514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0.9006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0.8823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0.7638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0.7768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0.8480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0.8465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0.8129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0.8081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0.7741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0.8372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0.7866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0.6046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0.7002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0.6264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0.6395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0.6372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0.5875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0.6214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0.5921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0.6033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0.5476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0.5097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0.6480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0.5945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8,192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0.9036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0.8984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0.7628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0.8809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0.6601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0.8222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0.9025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0.6151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0.8144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0.8582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0.8574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0.5994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0.7875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0.5230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0.7065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0.8284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0.5495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0.6864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0.7495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0.6950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0.5293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0.6579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0.6085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0.6067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0.5533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0.5116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0.5469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0.5625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0.5220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0.5599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0.5337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0.5386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3"/>
      </w:pPr>
      <w:r>
        <w:t>11.1 关键解释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bp：本模型宏平均0.8328，排名3；PlantCAD2为0.8450、PlantCaduceus为0.8445，本模型比两者约低0.012。它高于AgroNT 1B的0.8115。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2,048 bp：本模型0.8835，排名1；高于AgroNT 1B约0.0320，也高于PlantCAD2/PlantCaduceus约0.0345/0.0355。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bp：本模型0.8549，排名1；高于PlantCaduceus约0.0327、PlantCAD2约0.0405。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bp宏平均优势主要来自splice任务：本模型0.7628，PlantCaduceus 0.6601，PlantCAD2 0.6151；而TES上两个植物基线仍约0.9258，高于本模型0.9036。不能只报宏平均而隐藏任务异质性。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相对同架构random-init，本模型在512/2,048/8,192 bp宏平均分别提高约0.1642/0.1833/0.1484，支持预训练有效。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Evo2在这个“冻结embedding＋线性probe＋本地8K runtime”协议下较弱，不代表Evo2生成能力或其他fine-tuning协议普遍较弱。</w:t>
      </w:r>
    </w:p>
    <w:p>
      <w:pPr>
        <w:pStyle w:val="Heading3"/>
      </w:pPr>
      <w:r>
        <w:t>11.2 AUPRC并列分数完整性审计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本次整理发现，核心formal evaluator的自定义AUPRC实现按稳定排序逐个累积正例，但没有把相同probability的样本作为一个并列阈值组处理。因此，存在大量完全相同分数的方法会受文件行顺序影响。最明显的信号是：每个test split有512正例和512负例，恒定分数</w:t>
      </w:r>
      <w:r>
        <w:rPr>
          <w:rFonts w:ascii="Consolas" w:hAnsi="Consolas" w:eastAsia="Microsoft YaHei"/>
          <w:color w:val="183153"/>
          <w:sz w:val="19"/>
        </w:rPr>
        <w:t>majority_baseline</w:t>
      </w:r>
      <w:r>
        <w:rPr>
          <w:rFonts w:ascii="Arial" w:hAnsi="Arial" w:eastAsia="Microsoft YaHei"/>
          <w:color w:val="20252B"/>
          <w:sz w:val="21"/>
        </w:rPr>
        <w:t>的标准Average Precision应等于正例率0.5，而锁定正式表给出0.30734。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本报告没有覆盖或改写既有formal artifact，而是从3个context的</w:t>
      </w:r>
      <w:r>
        <w:rPr>
          <w:rFonts w:ascii="Consolas" w:hAnsi="Consolas" w:eastAsia="Microsoft YaHei"/>
          <w:color w:val="183153"/>
          <w:sz w:val="19"/>
        </w:rPr>
        <w:t>formal_test_predictions.tsv</w:t>
      </w:r>
      <w:r>
        <w:rPr>
          <w:rFonts w:ascii="Arial" w:hAnsi="Arial" w:eastAsia="Microsoft YaHei"/>
          <w:color w:val="20252B"/>
          <w:sz w:val="21"/>
        </w:rPr>
        <w:t>对full-data全部预测做了tie-safe重算，并保存为</w:t>
      </w: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  <w:r>
        <w:rPr>
          <w:rFonts w:ascii="Arial" w:hAnsi="Arial" w:eastAsia="Microsoft YaHei"/>
          <w:color w:val="20252B"/>
          <w:sz w:val="21"/>
        </w:rPr>
        <w:t>。结果如下：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majority_baseline</w:t>
      </w:r>
      <w:r>
        <w:rPr>
          <w:rFonts w:ascii="Arial" w:hAnsi="Arial" w:eastAsia="Microsoft YaHei"/>
          <w:color w:val="20252B"/>
          <w:sz w:val="20"/>
        </w:rPr>
        <w:t>应由0.30734校正为0.50000。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1/3/6-mer、composition等容易产生并列分数的baseline会有较明显变化；最大单任务/seed差异约0.06245。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CropGenome-FM、PlantCAD2、PlantCaduceus、AgroNT等连续概率学习模型只发生极小数值变化；512/2,048/8,192 bp的主学习模型排名均不变。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外部二分类复用了同一metric函数；对34个task×model×context的primary-seed prediction重算后，最大绝对差异约0.000384，模型排名不变。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下一正式release必须改用经过单元测试的标准Average Precision实现并重新生成全部表、图、manifest；在此之前，旧表中的tie-sensitive baseline AUPRC只作历史记录，不用于科学结论。</w:t>
      </w:r>
    </w:p>
    <w:p>
      <w:pPr>
        <w:pStyle w:val="Heading2"/>
      </w:pPr>
      <w:r>
        <w:t>12. 外部任务：Plant Genomic Benchmark</w:t>
      </w:r>
    </w:p>
    <w:p>
      <w:pPr>
        <w:pStyle w:val="Heading3"/>
      </w:pPr>
      <w:r>
        <w:t>12.1 来源与去泄漏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 xml:space="preserve">数据来自Hugging Face </w:t>
      </w:r>
      <w:r>
        <w:rPr>
          <w:rFonts w:ascii="Consolas" w:hAnsi="Consolas" w:eastAsia="Microsoft YaHei"/>
          <w:color w:val="183153"/>
          <w:sz w:val="19"/>
        </w:rPr>
        <w:t>InstaDeepAI/plant-genomic-benchmark</w:t>
      </w:r>
      <w:r>
        <w:rPr>
          <w:rFonts w:ascii="Arial" w:hAnsi="Arial" w:eastAsia="Microsoft YaHei"/>
          <w:color w:val="20252B"/>
          <w:sz w:val="21"/>
        </w:rPr>
        <w:t xml:space="preserve">，实际下载manifest和dataset manifest共同绑定revision </w:t>
      </w:r>
      <w:r>
        <w:rPr>
          <w:rFonts w:ascii="Consolas" w:hAnsi="Consolas" w:eastAsia="Microsoft YaHei"/>
          <w:color w:val="183153"/>
          <w:sz w:val="19"/>
        </w:rPr>
        <w:t>78ec8156c2ffb3e5475277fdb7eb603294224e53</w:t>
      </w:r>
      <w:r>
        <w:rPr>
          <w:rFonts w:ascii="Arial" w:hAnsi="Arial" w:eastAsia="Microsoft YaHei"/>
          <w:color w:val="20252B"/>
          <w:sz w:val="21"/>
        </w:rPr>
        <w:t>，共33个原始artifact，约1.356 GB。构建后对跨split完全相同序列去重；删重只删除train/validation中的冲突样本，test保持冻结；处理后每任务跨split exact duplicate=0。</w:t>
      </w:r>
    </w:p>
    <w:p>
      <w:pPr>
        <w:pStyle w:val="Heading4"/>
      </w:pPr>
      <w:r>
        <w:t>12.1.1 样本规模、输出维度和序列长度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289"/>
        <w:gridCol w:w="1918"/>
        <w:gridCol w:w="639"/>
        <w:gridCol w:w="639"/>
        <w:gridCol w:w="914"/>
        <w:gridCol w:w="639"/>
        <w:gridCol w:w="1827"/>
      </w:tblGrid>
      <w:tr>
        <w:trPr>
          <w:cantSplit/>
          <w:tblHeader w:val="true"/>
        </w:trPr>
        <w:tc>
          <w:tcPr>
            <w:tcW w:type="dxa" w:w="328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191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类型/维度</w:t>
            </w:r>
          </w:p>
        </w:tc>
        <w:tc>
          <w:tcPr>
            <w:tcW w:type="dxa" w:w="63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总样本</w:t>
            </w:r>
          </w:p>
        </w:tc>
        <w:tc>
          <w:tcPr>
            <w:tcW w:type="dxa" w:w="63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train</w:t>
            </w:r>
          </w:p>
        </w:tc>
        <w:tc>
          <w:tcPr>
            <w:tcW w:type="dxa" w:w="9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63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test</w:t>
            </w:r>
          </w:p>
        </w:tc>
        <w:tc>
          <w:tcPr>
            <w:tcW w:type="dxa" w:w="182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长度min/median/max(bp)</w:t>
            </w:r>
          </w:p>
        </w:tc>
      </w:tr>
      <w:tr>
        <w:trPr>
          <w:cantSplit/>
        </w:trPr>
        <w:tc>
          <w:tcPr>
            <w:tcW w:type="dxa" w:w="328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lncrna_multispecies</w:t>
            </w:r>
          </w:p>
        </w:tc>
        <w:tc>
          <w:tcPr>
            <w:tcW w:type="dxa" w:w="19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binary / 1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56,795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45,588</w:t>
            </w:r>
          </w:p>
        </w:tc>
        <w:tc>
          <w:tcPr>
            <w:tcW w:type="dxa" w:w="9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5,112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6,095</w:t>
            </w:r>
          </w:p>
        </w:tc>
        <w:tc>
          <w:tcPr>
            <w:tcW w:type="dxa" w:w="18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102/498/6000</w:t>
            </w:r>
          </w:p>
        </w:tc>
      </w:tr>
      <w:tr>
        <w:trPr>
          <w:cantSplit/>
        </w:trPr>
        <w:tc>
          <w:tcPr>
            <w:tcW w:type="dxa" w:w="328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enhancer_cassava_proseq</w:t>
            </w:r>
          </w:p>
        </w:tc>
        <w:tc>
          <w:tcPr>
            <w:tcW w:type="dxa" w:w="19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binary / 1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18,893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16,852</w:t>
            </w:r>
          </w:p>
        </w:tc>
        <w:tc>
          <w:tcPr>
            <w:tcW w:type="dxa" w:w="9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1,229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812</w:t>
            </w:r>
          </w:p>
        </w:tc>
        <w:tc>
          <w:tcPr>
            <w:tcW w:type="dxa" w:w="18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1000/1000/1000</w:t>
            </w:r>
          </w:p>
        </w:tc>
      </w:tr>
      <w:tr>
        <w:trPr>
          <w:cantSplit/>
        </w:trPr>
        <w:tc>
          <w:tcPr>
            <w:tcW w:type="dxa" w:w="328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gene_expression_arabidopsis_thaliana</w:t>
            </w:r>
          </w:p>
        </w:tc>
        <w:tc>
          <w:tcPr>
            <w:tcW w:type="dxa" w:w="19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56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32,529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25,728</w:t>
            </w:r>
          </w:p>
        </w:tc>
        <w:tc>
          <w:tcPr>
            <w:tcW w:type="dxa" w:w="9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3,399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3,402</w:t>
            </w:r>
          </w:p>
        </w:tc>
        <w:tc>
          <w:tcPr>
            <w:tcW w:type="dxa" w:w="18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28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gene_expression_glycine_max</w:t>
            </w:r>
          </w:p>
        </w:tc>
        <w:tc>
          <w:tcPr>
            <w:tcW w:type="dxa" w:w="19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14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56,709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47,105</w:t>
            </w:r>
          </w:p>
        </w:tc>
        <w:tc>
          <w:tcPr>
            <w:tcW w:type="dxa" w:w="9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4,801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4,803</w:t>
            </w:r>
          </w:p>
        </w:tc>
        <w:tc>
          <w:tcPr>
            <w:tcW w:type="dxa" w:w="18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28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gene_expression_oryza_sativa</w:t>
            </w:r>
          </w:p>
        </w:tc>
        <w:tc>
          <w:tcPr>
            <w:tcW w:type="dxa" w:w="19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7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38,626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31,224</w:t>
            </w:r>
          </w:p>
        </w:tc>
        <w:tc>
          <w:tcPr>
            <w:tcW w:type="dxa" w:w="9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3,700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3,702</w:t>
            </w:r>
          </w:p>
        </w:tc>
        <w:tc>
          <w:tcPr>
            <w:tcW w:type="dxa" w:w="18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28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gene_expression_solanum_lycopersicum</w:t>
            </w:r>
          </w:p>
        </w:tc>
        <w:tc>
          <w:tcPr>
            <w:tcW w:type="dxa" w:w="19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10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34,960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27,307</w:t>
            </w:r>
          </w:p>
        </w:tc>
        <w:tc>
          <w:tcPr>
            <w:tcW w:type="dxa" w:w="9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3,826</w:t>
            </w:r>
          </w:p>
        </w:tc>
        <w:tc>
          <w:tcPr>
            <w:tcW w:type="dxa" w:w="6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3,827</w:t>
            </w:r>
          </w:p>
        </w:tc>
        <w:tc>
          <w:tcPr>
            <w:tcW w:type="dxa" w:w="18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28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gene_expression_zea_mays</w:t>
            </w:r>
          </w:p>
        </w:tc>
        <w:tc>
          <w:tcPr>
            <w:tcW w:type="dxa" w:w="19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23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43,452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34,487</w:t>
            </w:r>
          </w:p>
        </w:tc>
        <w:tc>
          <w:tcPr>
            <w:tcW w:type="dxa" w:w="9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4,482</w:t>
            </w:r>
          </w:p>
        </w:tc>
        <w:tc>
          <w:tcPr>
            <w:tcW w:type="dxa" w:w="6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4,483</w:t>
            </w:r>
          </w:p>
        </w:tc>
        <w:tc>
          <w:tcPr>
            <w:tcW w:type="dxa" w:w="18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</w:tbl>
    <w:p>
      <w:pPr>
        <w:spacing w:after="20"/>
      </w:pPr>
    </w:p>
    <w:p>
      <w:pPr>
        <w:pStyle w:val="Heading4"/>
      </w:pPr>
      <w:r>
        <w:t>12.1.2 跨split重复清理和validation策略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229"/>
        <w:gridCol w:w="987"/>
        <w:gridCol w:w="1614"/>
        <w:gridCol w:w="628"/>
        <w:gridCol w:w="3408"/>
      </w:tblGrid>
      <w:tr>
        <w:trPr>
          <w:cantSplit/>
          <w:tblHeader w:val="true"/>
        </w:trPr>
        <w:tc>
          <w:tcPr>
            <w:tcW w:type="dxa" w:w="322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98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去重前跨split重复</w:t>
            </w:r>
          </w:p>
        </w:tc>
        <w:tc>
          <w:tcPr>
            <w:tcW w:type="dxa" w:w="16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删除train/validation</w:t>
            </w:r>
          </w:p>
        </w:tc>
        <w:tc>
          <w:tcPr>
            <w:tcW w:type="dxa" w:w="62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去重后重复</w:t>
            </w:r>
          </w:p>
        </w:tc>
        <w:tc>
          <w:tcPr>
            <w:tcW w:type="dxa" w:w="34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validation策略</w:t>
            </w:r>
          </w:p>
        </w:tc>
      </w:tr>
      <w:tr>
        <w:trPr>
          <w:cantSplit/>
        </w:trPr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lncrna_multispecies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1,074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1,260 / 7</w:t>
            </w:r>
          </w:p>
        </w:tc>
        <w:tc>
          <w:tcPr>
            <w:tcW w:type="dxa" w:w="62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sha256(sample identity) modulo 10 from official train；official test preserved</w:t>
            </w:r>
          </w:p>
        </w:tc>
      </w:tr>
      <w:tr>
        <w:trPr>
          <w:cantSplit/>
        </w:trPr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enhancer_cassava_proseq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 / 0</w:t>
            </w:r>
          </w:p>
        </w:tc>
        <w:tc>
          <w:tcPr>
            <w:tcW w:type="dxa" w:w="62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gene_expression_arabidopsis_thaliana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 / 2</w:t>
            </w:r>
          </w:p>
        </w:tc>
        <w:tc>
          <w:tcPr>
            <w:tcW w:type="dxa" w:w="62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gene_expression_glycine_max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31 / 2</w:t>
            </w:r>
          </w:p>
        </w:tc>
        <w:tc>
          <w:tcPr>
            <w:tcW w:type="dxa" w:w="62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gene_expression_oryza_sativa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 / 2</w:t>
            </w:r>
          </w:p>
        </w:tc>
        <w:tc>
          <w:tcPr>
            <w:tcW w:type="dxa" w:w="62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gene_expression_solanum_lycopersicum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 / 1</w:t>
            </w:r>
          </w:p>
        </w:tc>
        <w:tc>
          <w:tcPr>
            <w:tcW w:type="dxa" w:w="62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gene_expression_zea_mays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 / 1</w:t>
            </w:r>
          </w:p>
        </w:tc>
        <w:tc>
          <w:tcPr>
            <w:tcW w:type="dxa" w:w="62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4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official validation split</w:t>
            </w:r>
          </w:p>
        </w:tc>
      </w:tr>
    </w:tbl>
    <w:p>
      <w:pPr>
        <w:spacing w:after="20"/>
      </w:pPr>
    </w:p>
    <w:p>
      <w:pPr>
        <w:pStyle w:val="Heading3"/>
      </w:pPr>
      <w:r>
        <w:t>12.2 七项任务含义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Cassava PRO-seq enhancer：</w:t>
      </w:r>
      <w:r>
        <w:rPr>
          <w:rFonts w:ascii="Arial" w:hAnsi="Arial" w:eastAsia="Microsoft YaHei"/>
          <w:color w:val="20252B"/>
          <w:sz w:val="20"/>
        </w:rPr>
        <w:t xml:space="preserve"> 木薯PRO-seq活性增强子二分类；manifest中的序列长度固定为1,000 bp。6000-bp运行只能补PAD，不会新增真实远端序列，因此不能用其512→6000差异证明长上下文。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Multi-species lncRNA：</w:t>
      </w:r>
      <w:r>
        <w:rPr>
          <w:rFonts w:ascii="Arial" w:hAnsi="Arial" w:eastAsia="Microsoft YaHei"/>
          <w:color w:val="20252B"/>
          <w:sz w:val="20"/>
        </w:rPr>
        <w:t xml:space="preserve"> 长度102–6,000 bp、中位数498 bp的lncRNA二分类，检验跨植物物种非编码转录本特征；6000-bp运行包含每条样本的全部可用序列，但很多样本远短于6K。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Arabidopsis expression：</w:t>
      </w:r>
      <w:r>
        <w:rPr>
          <w:rFonts w:ascii="Arial" w:hAnsi="Arial" w:eastAsia="Microsoft YaHei"/>
          <w:color w:val="20252B"/>
          <w:sz w:val="20"/>
        </w:rPr>
        <w:t xml:space="preserve"> 56个输出维度的表达回归。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Soybean expression：</w:t>
      </w:r>
      <w:r>
        <w:rPr>
          <w:rFonts w:ascii="Arial" w:hAnsi="Arial" w:eastAsia="Microsoft YaHei"/>
          <w:color w:val="20252B"/>
          <w:sz w:val="20"/>
        </w:rPr>
        <w:t xml:space="preserve"> 14个输出维度，是最直接的大豆相关外部任务之一。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Rice expression：</w:t>
      </w:r>
      <w:r>
        <w:rPr>
          <w:rFonts w:ascii="Arial" w:hAnsi="Arial" w:eastAsia="Microsoft YaHei"/>
          <w:color w:val="20252B"/>
          <w:sz w:val="20"/>
        </w:rPr>
        <w:t xml:space="preserve"> 7个输出维度。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Tomato expression：</w:t>
      </w:r>
      <w:r>
        <w:rPr>
          <w:rFonts w:ascii="Arial" w:hAnsi="Arial" w:eastAsia="Microsoft YaHei"/>
          <w:color w:val="20252B"/>
          <w:sz w:val="20"/>
        </w:rPr>
        <w:t xml:space="preserve"> 10个输出维度。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Maize expression：</w:t>
      </w:r>
      <w:r>
        <w:rPr>
          <w:rFonts w:ascii="Arial" w:hAnsi="Arial" w:eastAsia="Microsoft YaHei"/>
          <w:color w:val="20252B"/>
          <w:sz w:val="20"/>
        </w:rPr>
        <w:t xml:space="preserve"> 23个输出维度。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表达任务用各输出维度Pearson后做macro average。由于维度间样本可用性不同，还应检查per-output结果，不能只看一个宏平均。</w:t>
      </w:r>
    </w:p>
    <w:p>
      <w:pPr>
        <w:pStyle w:val="Heading2"/>
      </w:pPr>
      <w:r>
        <w:t>13. 外部任务全部正式性能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615455"/>
            <wp:docPr id="4" name="Figure 4" title="外部任务性能" descr="外部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external_perform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1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图4｜外部任务性能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表中二分类列是AUPRC，五个表达列是macro Pearson。为使任务共用一张表，展示的是full-data primary seed 13；二分类另有29/47/71/101四个seed且现有结果与seed 13完全相同，表达回归为确定性ridge、只保留seed 13。</w:t>
      </w:r>
      <w:r>
        <w:rPr>
          <w:rFonts w:ascii="Consolas" w:hAnsi="Consolas" w:eastAsia="Microsoft YaHei"/>
          <w:color w:val="183153"/>
          <w:sz w:val="19"/>
        </w:rPr>
        <w:t>—</w:t>
      </w:r>
      <w:r>
        <w:rPr>
          <w:rFonts w:ascii="Arial" w:hAnsi="Arial" w:eastAsia="Microsoft YaHei"/>
          <w:color w:val="20252B"/>
          <w:sz w:val="21"/>
        </w:rPr>
        <w:t>表示zero-truncation协议下未评估，不是0分。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4"/>
      </w:pPr>
      <w:r>
        <w:t>512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0.7842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0.6947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0.1066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0.0908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0.2367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0.1611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0.7183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0.5883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0.0462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0.1055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0.0494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0.7856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0.6562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0.2113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0.1479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0.8572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0.7419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0.1151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0.1668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0.1235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0.2932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0.1921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0.8207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0.1534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0.1568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0.1088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0.2952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0.2019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0.6485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0.0585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0.2085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0.1328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0.7404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0.6570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0.0536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0.0739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0.2231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0.6886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0.6198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0.0309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0.0652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0.2316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0.1200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0.7543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0.6177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0.0697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0.1223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0.0557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0.2529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0.5387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0.5499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0.1989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4"/>
      </w:pPr>
      <w:r>
        <w:t>6,000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0.7072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0.5520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0.5673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0.5028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0.6854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0.5894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0.3654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0.4298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0.3595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0.4560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0.4187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0.8615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0.5518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0.5855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0.5181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0.6306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0.6739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0.8263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0.7535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0.5596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0.5988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0.5210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0.6711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0.7033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0.6226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0.4967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0.5164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0.4455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0.4577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0.7589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0.6280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0.3956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0.4432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0.4814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0.4804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0.5554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0.1688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0.1818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0.2395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0.1032</w:t>
            </w:r>
          </w:p>
        </w:tc>
      </w:tr>
    </w:tbl>
    <w:p>
      <w:pPr>
        <w:sectPr>
          <w:type w:val="continuous"/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13.1 外部结果解释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 Cassava enhancer：本模型0.7842，接近AgroNT 0.7856，但低于PlantCAD2 0.8572和PlantCaduceus 0.8207。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 Cassava enhancer：本模型0.8321，高于PlantCaduceus 0.8263，但低于PlantCAD2 0.8615；因原始序列固定为1,000 bp，所谓6K输入主要是padding，这不是长程证据。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 lncRNA：本模型0.7072，低于PlantCaduceus 0.7535和PlantCAD2 0.7400。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五个6,000 bp表达任务：本模型分别为Arabidopsis 0.5520、soybean 0.5673、rice 0.5028、tomato 0.5891、maize 0.6350；全部低于PlantCaduceus，除Arabidopsis与PlantCAD2几乎相同外，其余也低于PlantCAD2。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本模型在大多数外部任务明显超过同架构random-init，说明预训练仍有效；但植物专属外部泛化目前不是第一，主要差距应作为下一阶段优化目标，而不是用新任务掩盖。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AgroNT和NT-v2 100M在6000 bp外部面板因tokenization后存在超过模型上限的样本而被整体排除，避免不透明截断。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NT-v2 500M没有任何当前结果；下一版必须加入后再谈与“Nucleotide Transformer v2 500M”的正式比较。</w:t>
      </w:r>
    </w:p>
    <w:p>
      <w:pPr>
        <w:pStyle w:val="Heading2"/>
      </w:pPr>
      <w:r>
        <w:t>14. 基线模型、参数量与公平角色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08"/>
        <w:gridCol w:w="1595"/>
        <w:gridCol w:w="1595"/>
        <w:gridCol w:w="1595"/>
        <w:gridCol w:w="1595"/>
        <w:gridCol w:w="1595"/>
        <w:gridCol w:w="882"/>
      </w:tblGrid>
      <w:tr>
        <w:trPr>
          <w:cantSplit/>
          <w:tblHeader w:val="true"/>
        </w:trPr>
        <w:tc>
          <w:tcPr>
            <w:tcW w:type="dxa" w:w="10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角色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参数量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架构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当前native/评估上下文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预训练域</w:t>
            </w:r>
          </w:p>
        </w:tc>
        <w:tc>
          <w:tcPr>
            <w:tcW w:type="dxa" w:w="88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our_frozen_model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369505287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 HyenaLite blocks + 8 dilated local-attention blocks; RC-equivariant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 bp Stage B; 65536 bp architecture gate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258 crop/plant assemblies; 30 species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same_architecture_ablation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369505287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 as CropGenomeFM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512/2048/8192 and 512/6000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none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edible_plant_primary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991261206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40-layer ESM-style Transformer; 6-mer tokenizer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1024 tokens; evaluated 512/2048 bp; external 6000 excluded by zero-truncation audit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about 10.5M sequences from 48 primarily edible plant species; Ensembl Plants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plant_primary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175980688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24-layer bidirectional RCPS Caduceus/Mamba2; d_model 768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 to 8192 bp core and 6000 bp external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 model; exact public model release bound by revision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plant_primary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426689552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32-layer bidirectional RCPS Caduceus; d_model 1024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 to 8192 bp core and 6000 bp external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 model; exact public model release bound by revision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general_multispecies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97889484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22-layer Transformer; rotary position; 6-mer tokenizer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2050 positions; evaluated 512/2048 bp; external 6000 excluded by zero-truncation audit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 non-plant/non-virus genomes; 300B training tokens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NTv2_500M_multi_species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required_next_release_general_multispecies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500M nominal; exact local weights not yet frozen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29-layer Transformer; d_model 1024; rotary position; 6-mer tokenizer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2048 tokens; must pass zero-truncation audit per task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 non-plant/non-virus genomes; 900B training tokens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planned_not_evaluated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general_short_context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120219904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12-layer BERT; BPE-like DNA tokenizer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 positions; evaluated 512 bp only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 DNA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general_long_context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14236768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 sequence model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nominal 160k; evaluated 8192/6000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 DNA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general_rc_long_context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7725344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bidirectional RCPS Caduceus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nominal 131k; evaluated 8192/6000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 DNA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evolution_scale_general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1B nominal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25-layer StripedHyena2; character tokenizer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 configuration max 8192 bp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multi-domain genomic sequence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</w:tbl>
    <w:p>
      <w:pPr>
        <w:spacing w:after="20"/>
      </w:pPr>
    </w:p>
    <w:p>
      <w:pPr>
        <w:pStyle w:val="Heading3"/>
      </w:pPr>
      <w:r>
        <w:t>14.1 三个最关键植物/通用基线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本地权重精确统计991,261,206个参数；40层ESM-style Transformer；6-mer tokenizer；官方model card说明基于48种主要可食用植物、约10.5M序列和472.5B token训练，native 1,024 tokens约6,144 bp。它是“大规模植物短上下文”关键基线。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Small：</w:t>
      </w:r>
      <w:r>
        <w:rPr>
          <w:rFonts w:ascii="Arial" w:hAnsi="Arial" w:eastAsia="Microsoft YaHei"/>
          <w:color w:val="20252B"/>
          <w:sz w:val="20"/>
        </w:rPr>
        <w:t xml:space="preserve"> 本地权重精确统计175,980,688个参数；24层、d_model=768的bidirectional RCPS Caduceus/Mamba2类模型。它在当前多个外部任务最强，是必须正面超过而不能规避的基线。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NT-v2 500M multi-species：</w:t>
      </w:r>
      <w:r>
        <w:rPr>
          <w:rFonts w:ascii="Arial" w:hAnsi="Arial" w:eastAsia="Microsoft YaHei"/>
          <w:color w:val="20252B"/>
          <w:sz w:val="20"/>
        </w:rPr>
        <w:t xml:space="preserve"> 官方config为29层、d_model=1,024、16头、max_position_embeddings=2,050，官方card称2048 tokens和约500M参数、850个非植物/非病毒物种基因组、900B训练token。当前只核验了官方revision，尚未冻结权重或跑分。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PlantCaduceus l32本地权重为426,689,552个参数，也是当前强植物长上下文基线。Evo2、HyenaDNA和Caduceus用于覆盖通用进化规模或长上下文架构。</w:t>
      </w:r>
    </w:p>
    <w:p>
      <w:pPr>
        <w:pStyle w:val="Heading3"/>
      </w:pPr>
      <w:r>
        <w:t>14.2 当前离“通用任务媲美关键植物基线”还有多远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下表由</w:t>
      </w:r>
      <w:r>
        <w:rPr>
          <w:rFonts w:ascii="Consolas" w:hAnsi="Consolas" w:eastAsia="Microsoft YaHei"/>
          <w:color w:val="183153"/>
          <w:sz w:val="19"/>
        </w:rPr>
        <w:t>aggregate_primary_metrics.tsv</w:t>
      </w:r>
      <w:r>
        <w:rPr>
          <w:rFonts w:ascii="Arial" w:hAnsi="Arial" w:eastAsia="Microsoft YaHei"/>
          <w:color w:val="20252B"/>
          <w:sz w:val="21"/>
        </w:rPr>
        <w:t>自动计算，比较本模型与同一panel、同一context、同一指标下当前最强的AgroNT 1B、PlantCAD2 Small或PlantCaduceus l32。它是点估计差值，不是非劣检验的CI；NT-v2 500M仍没有本项目结果。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97"/>
        <w:gridCol w:w="785"/>
        <w:gridCol w:w="785"/>
        <w:gridCol w:w="1457"/>
        <w:gridCol w:w="2803"/>
        <w:gridCol w:w="1121"/>
        <w:gridCol w:w="2018"/>
      </w:tblGrid>
      <w:tr>
        <w:trPr>
          <w:cantSplit/>
          <w:tblHeader w:val="true"/>
        </w:trPr>
        <w:tc>
          <w:tcPr>
            <w:tcW w:type="dxa" w:w="89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面板</w:t>
            </w:r>
          </w:p>
        </w:tc>
        <w:tc>
          <w:tcPr>
            <w:tcW w:type="dxa" w:w="7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7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指标</w:t>
            </w:r>
          </w:p>
        </w:tc>
        <w:tc>
          <w:tcPr>
            <w:tcW w:type="dxa" w:w="14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CropGenome-FM</w:t>
            </w:r>
          </w:p>
        </w:tc>
        <w:tc>
          <w:tcPr>
            <w:tcW w:type="dxa" w:w="28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当前最强植物基线（值）</w:t>
            </w:r>
          </w:p>
        </w:tc>
        <w:tc>
          <w:tcPr>
            <w:tcW w:type="dxa" w:w="112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差值（本模型−基线）</w:t>
            </w:r>
          </w:p>
        </w:tc>
        <w:tc>
          <w:tcPr>
            <w:tcW w:type="dxa" w:w="201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当前判断</w:t>
            </w:r>
          </w:p>
        </w:tc>
      </w:tr>
      <w:tr>
        <w:trPr>
          <w:cantSplit/>
        </w:trPr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0.8328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Small（0.8450）</w:t>
            </w:r>
          </w:p>
        </w:tc>
        <w:tc>
          <w:tcPr>
            <w:tcW w:type="dxa" w:w="11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−0.0122</w:t>
            </w:r>
          </w:p>
        </w:tc>
        <w:tc>
          <w:tcPr>
            <w:tcW w:type="dxa" w:w="20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点估计接近；正式非劣仍需配对CI</w:t>
            </w:r>
          </w:p>
        </w:tc>
      </w:tr>
      <w:tr>
        <w:trPr>
          <w:cantSplit/>
        </w:trPr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7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2,048</w:t>
            </w:r>
          </w:p>
        </w:tc>
        <w:tc>
          <w:tcPr>
            <w:tcW w:type="dxa" w:w="7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0.8835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 1B（0.8514）</w:t>
            </w:r>
          </w:p>
        </w:tc>
        <w:tc>
          <w:tcPr>
            <w:tcW w:type="dxa" w:w="11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+0.0320</w:t>
            </w:r>
          </w:p>
        </w:tc>
        <w:tc>
          <w:tcPr>
            <w:tcW w:type="dxa" w:w="20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当前已评估植物基线中领先</w:t>
            </w:r>
          </w:p>
        </w:tc>
      </w:tr>
      <w:tr>
        <w:trPr>
          <w:cantSplit/>
        </w:trPr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0.8549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l32（0.8222）</w:t>
            </w:r>
          </w:p>
        </w:tc>
        <w:tc>
          <w:tcPr>
            <w:tcW w:type="dxa" w:w="11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+0.0327</w:t>
            </w:r>
          </w:p>
        </w:tc>
        <w:tc>
          <w:tcPr>
            <w:tcW w:type="dxa" w:w="20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当前已评估植物基线中领先</w:t>
            </w:r>
          </w:p>
        </w:tc>
      </w:tr>
      <w:tr>
        <w:trPr>
          <w:cantSplit/>
        </w:trPr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外部二分类宏平均</w:t>
            </w:r>
          </w:p>
        </w:tc>
        <w:tc>
          <w:tcPr>
            <w:tcW w:type="dxa" w:w="7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0.7395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Small（0.7996）</w:t>
            </w:r>
          </w:p>
        </w:tc>
        <w:tc>
          <w:tcPr>
            <w:tcW w:type="dxa" w:w="11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−0.0601</w:t>
            </w:r>
          </w:p>
        </w:tc>
        <w:tc>
          <w:tcPr>
            <w:tcW w:type="dxa" w:w="20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明确差距，下一版必须缩小</w:t>
            </w:r>
          </w:p>
        </w:tc>
      </w:tr>
      <w:tr>
        <w:trPr>
          <w:cantSplit/>
        </w:trPr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外部表达宏平均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Pearson</w:t>
            </w:r>
          </w:p>
        </w:tc>
        <w:tc>
          <w:tcPr>
            <w:tcW w:type="dxa" w:w="14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0.1448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l32（0.1832）</w:t>
            </w:r>
          </w:p>
        </w:tc>
        <w:tc>
          <w:tcPr>
            <w:tcW w:type="dxa" w:w="11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−0.0385</w:t>
            </w:r>
          </w:p>
        </w:tc>
        <w:tc>
          <w:tcPr>
            <w:tcW w:type="dxa" w:w="20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明确差距</w:t>
            </w:r>
          </w:p>
        </w:tc>
      </w:tr>
      <w:tr>
        <w:trPr>
          <w:cantSplit/>
        </w:trPr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外部二分类宏平均</w:t>
            </w:r>
          </w:p>
        </w:tc>
        <w:tc>
          <w:tcPr>
            <w:tcW w:type="dxa" w:w="7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6,000</w:t>
            </w:r>
          </w:p>
        </w:tc>
        <w:tc>
          <w:tcPr>
            <w:tcW w:type="dxa" w:w="7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0.7697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Small（0.8008）</w:t>
            </w:r>
          </w:p>
        </w:tc>
        <w:tc>
          <w:tcPr>
            <w:tcW w:type="dxa" w:w="11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−0.0311</w:t>
            </w:r>
          </w:p>
        </w:tc>
        <w:tc>
          <w:tcPr>
            <w:tcW w:type="dxa" w:w="20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仍有差距</w:t>
            </w:r>
          </w:p>
        </w:tc>
      </w:tr>
      <w:tr>
        <w:trPr>
          <w:cantSplit/>
        </w:trPr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外部表达宏平均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6,000</w:t>
            </w:r>
          </w:p>
        </w:tc>
        <w:tc>
          <w:tcPr>
            <w:tcW w:type="dxa" w:w="7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Pearson</w:t>
            </w:r>
          </w:p>
        </w:tc>
        <w:tc>
          <w:tcPr>
            <w:tcW w:type="dxa" w:w="14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0.5693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l32（0.5972）</w:t>
            </w:r>
          </w:p>
        </w:tc>
        <w:tc>
          <w:tcPr>
            <w:tcW w:type="dxa" w:w="11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−0.0279</w:t>
            </w:r>
          </w:p>
        </w:tc>
        <w:tc>
          <w:tcPr>
            <w:tcW w:type="dxa" w:w="20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点估计接近预设0.03界限；仍需CI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张表定义下一版的双目标：通用任务先达到对最强植物基线的预注册非劣；作物专属任务再证明有意义的优效。不能用新专属任务掩盖外部通用任务上的真实差距，也不能把2K/8K核心领先外推为所有植物任务领先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9144000" cy="4551740"/>
            <wp:docPr id="5" name="Figure 5" title="当前通用任务基线差距与作物专属任务策略图" descr="当前通用任务基线差距与作物专属任务策略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strategy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5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图5｜当前通用任务基线差距与作物专属任务策略图</w:t>
      </w:r>
    </w:p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14.3 四个指定关键基线如何公平进入下一版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代表大规模可食用植物预训练。所有其token上限内的common native任务必须直接比较；64–256K任务必须另给compute-matched chunked版本，不能只写N/E。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Small与PlantCaduceus l32：</w:t>
      </w:r>
      <w:r>
        <w:rPr>
          <w:rFonts w:ascii="Arial" w:hAnsi="Arial" w:eastAsia="Microsoft YaHei"/>
          <w:color w:val="20252B"/>
          <w:sz w:val="20"/>
        </w:rPr>
        <w:t xml:space="preserve"> 代表当前最强植物长序列表征。它们在现有外部任务上总体更强，是作物专属任务native-long赛道的首要对手，而不是可排除的“旧模型”。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Nucleotide Transformer v2 500M：</w:t>
      </w:r>
      <w:r>
        <w:rPr>
          <w:rFonts w:ascii="Arial" w:hAnsi="Arial" w:eastAsia="Microsoft YaHei"/>
          <w:color w:val="20252B"/>
          <w:sz w:val="20"/>
        </w:rPr>
        <w:t xml:space="preserve"> 代表规模更大的通用多物种Transformer。下一版必须下载、hash冻结revision、完成zero-truncation审计和common任务评估；在此之前只能写“计划加入”，不能用100M成绩替代500M。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Evo2 1B：</w:t>
      </w:r>
      <w:r>
        <w:rPr>
          <w:rFonts w:ascii="Arial" w:hAnsi="Arial" w:eastAsia="Microsoft YaHei"/>
          <w:color w:val="20252B"/>
          <w:sz w:val="20"/>
        </w:rPr>
        <w:t xml:space="preserve"> 代表进化尺度、多域、字符级通用模型。当前成绩只适用于本地冻结的8K embedding＋probe协议；未来长任务需先真实Gate其可运行长度，不能从当前弱结果推断它在所有用法都弱。</w:t>
      </w:r>
    </w:p>
    <w:p>
      <w:pPr>
        <w:pStyle w:val="Heading2"/>
      </w:pPr>
      <w:r>
        <w:t>15. 当前证据能回答什么</w:t>
      </w:r>
    </w:p>
    <w:p>
      <w:pPr>
        <w:pStyle w:val="Heading3"/>
      </w:pPr>
      <w:r>
        <w:t>15.1 已支持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CropGenome-FM预训练显著优于同架构random-init。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2K和8K核心结构任务上，当前冻结模型宏平均超过已评估植物/通用基线。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在部分长窗口外部任务上，模型学到有用作物表示。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369.5M混合架构可以执行真实64K前向、反向和optimizer step。</w:t>
      </w:r>
    </w:p>
    <w:p>
      <w:pPr>
        <w:pStyle w:val="Heading3"/>
      </w:pPr>
      <w:r>
        <w:t>15.2 尚未支持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64K/128K/256K预训练模型完成。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64K带来真实下游增益。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全面超过PlantCAD2、PlantCaduceus或AgroNT。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超过NT-v2 500M；它尚未评估。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Evo2在所有协议中较弱。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表达预测可用于直接育种决策或因果基因发现。</w:t>
      </w:r>
    </w:p>
    <w:p>
      <w:pPr>
        <w:pStyle w:val="Heading2"/>
      </w:pPr>
      <w:r>
        <w:t>16. 当前研究设计的主要局限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Stage B只相当于约0.09–0.11遍训练窗口池；是否欠训练需看validation和token/parameter曲线，而非只看epoch。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Stage C1只有569步，无validation，不能参与任何科学结论。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预训练split是assembly级分层，不是严格全属隔离；跨属零样本能力尚未充分证明。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核心任务都来自GFF结构注释，和预训练区域辅助标签存在任务相关性；必须用未见assembly/同源家族和外部功能数据控制。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外部二分类虽有5个seed，但现有full-data值完全相同；表达回归只有确定性seed 13。按species/study bootstrap和独立训练重复评估的不确定性仍不足。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当前正式下游是frozen probe，不等于全参数fine-tuning或LoRA上限。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当前外部表达面板上PlantCAD2/PlantCaduceus普遍更强。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当前缺NT-v2 500M；任何“全面基线矩阵”都还不完整。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某些公开模型因native上下文/Tokenizer限制未评估长窗口；不能把N/E按0分计入排名。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目前没有真正针对作物多倍体、TE/SV和育种locus的冻结formal任务。</w:t>
      </w:r>
    </w:p>
    <w:p>
      <w:pPr>
        <w:pStyle w:val="Heading2"/>
      </w:pPr>
      <w:r>
        <w:t>17. 下一版作物专属下游任务矩阵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下面9项是预注册候选。最低样本数是任务建设门槛，不是现有数据。P0先做，P1在公开数据release/accession冻结后做，P2缺可靠标签时明确暂停。</w:t>
      </w:r>
    </w:p>
    <w:p>
      <w:pPr>
        <w:pStyle w:val="Heading3"/>
      </w:pPr>
      <w:r>
        <w:t>17.1 科学问题、信息范围和当前数据状态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257"/>
        <w:gridCol w:w="1483"/>
        <w:gridCol w:w="2192"/>
        <w:gridCol w:w="1483"/>
        <w:gridCol w:w="2450"/>
      </w:tblGrid>
      <w:tr>
        <w:trPr>
          <w:cantSplit/>
          <w:tblHeader w:val="true"/>
        </w:trPr>
        <w:tc>
          <w:tcPr>
            <w:tcW w:type="dxa" w:w="22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优先级</w:t>
            </w:r>
          </w:p>
        </w:tc>
        <w:tc>
          <w:tcPr>
            <w:tcW w:type="dxa" w:w="148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任务ID</w:t>
            </w:r>
          </w:p>
        </w:tc>
        <w:tc>
          <w:tcPr>
            <w:tcW w:type="dxa" w:w="21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科学问题</w:t>
            </w:r>
          </w:p>
        </w:tc>
        <w:tc>
          <w:tcPr>
            <w:tcW w:type="dxa" w:w="148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输入长度(bp)</w:t>
            </w:r>
          </w:p>
        </w:tc>
        <w:tc>
          <w:tcPr>
            <w:tcW w:type="dxa" w:w="24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数据状态</w:t>
            </w:r>
          </w:p>
        </w:tc>
      </w:tr>
      <w:tr>
        <w:trPr>
          <w:cantSplit/>
        </w:trPr>
        <w:tc>
          <w:tcPr>
            <w:tcW w:type="dxa" w:w="22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P0_data_ready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完整长基因中联合标注启动子、UTR、CDS、内含子、剪接边界和TES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8192;32768;65536;131072</w:t>
            </w:r>
          </w:p>
        </w:tc>
        <w:tc>
          <w:tcPr>
            <w:tcW w:type="dxa" w:w="24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source available；task release not built</w:t>
            </w:r>
          </w:p>
        </w:tc>
      </w:tr>
      <w:tr>
        <w:trPr>
          <w:cantSplit/>
        </w:trPr>
        <w:tc>
          <w:tcPr>
            <w:tcW w:type="dxa" w:w="22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P0_buildable_plus_functional_labels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局部2K近似相同时，远端顺式背景能否决定启动子/TES活性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2048;8192;32768;65536</w:t>
            </w:r>
          </w:p>
        </w:tc>
        <w:tc>
          <w:tcPr>
            <w:tcW w:type="dxa" w:w="24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candidate sources partly available；functional accessions not frozen</w:t>
            </w:r>
          </w:p>
        </w:tc>
      </w:tr>
      <w:tr>
        <w:trPr>
          <w:cantSplit/>
        </w:trPr>
        <w:tc>
          <w:tcPr>
            <w:tcW w:type="dxa" w:w="22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P1_needs_release_freeze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完整基因上下文预测条件特异可变剪接和可变poly(A)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8192;65536;131072</w:t>
            </w:r>
          </w:p>
        </w:tc>
        <w:tc>
          <w:tcPr>
            <w:tcW w:type="dxa" w:w="24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not frozen；no formal result</w:t>
            </w:r>
          </w:p>
        </w:tc>
      </w:tr>
      <w:tr>
        <w:trPr>
          <w:cantSplit/>
        </w:trPr>
        <w:tc>
          <w:tcPr>
            <w:tcW w:type="dxa" w:w="22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P1_crop_specific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小麦/棉花/油菜同源亚基因组表达优势、抑制或平衡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8192;32768;65536</w:t>
            </w:r>
          </w:p>
        </w:tc>
        <w:tc>
          <w:tcPr>
            <w:tcW w:type="dxa" w:w="24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not frozen；no formal result</w:t>
            </w:r>
          </w:p>
        </w:tc>
      </w:tr>
      <w:tr>
        <w:trPr>
          <w:cantSplit/>
        </w:trPr>
        <w:tc>
          <w:tcPr>
            <w:tcW w:type="dxa" w:w="22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P1_crop_specific_long_context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含/不含TE插入的等位/单倍型序列对预测表达delta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32768;131072;262144</w:t>
            </w:r>
          </w:p>
        </w:tc>
        <w:tc>
          <w:tcPr>
            <w:tcW w:type="dxa" w:w="24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blocked pending EDTA QC and paired labels</w:t>
            </w:r>
          </w:p>
        </w:tc>
      </w:tr>
      <w:tr>
        <w:trPr>
          <w:cantSplit/>
        </w:trPr>
        <w:tc>
          <w:tcPr>
            <w:tcW w:type="dxa" w:w="22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P1_crop_specific_repeat_rich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重复富集NLR簇中的完整基因、伪基因、拷贝数和边界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65536;131072;262144</w:t>
            </w:r>
          </w:p>
        </w:tc>
        <w:tc>
          <w:tcPr>
            <w:tcW w:type="dxa" w:w="24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not frozen；manual QC tier required</w:t>
            </w:r>
          </w:p>
        </w:tc>
      </w:tr>
      <w:tr>
        <w:trPr>
          <w:cantSplit/>
        </w:trPr>
        <w:tc>
          <w:tcPr>
            <w:tcW w:type="dxa" w:w="22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P1_functional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跨作物、组织和胁迫的开放染色质与远端调控活性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2048;8192;32768;65536</w:t>
            </w:r>
          </w:p>
        </w:tc>
        <w:tc>
          <w:tcPr>
            <w:tcW w:type="dxa" w:w="24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one cassava task exists；cross-crop panel not frozen</w:t>
            </w:r>
          </w:p>
        </w:tc>
      </w:tr>
      <w:tr>
        <w:trPr>
          <w:cantSplit/>
        </w:trPr>
        <w:tc>
          <w:tcPr>
            <w:tcW w:type="dxa" w:w="22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P2_breeding_relevance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成对单倍型预测PAV/SV类别及其转录影响</w:t>
            </w:r>
          </w:p>
        </w:tc>
        <w:tc>
          <w:tcPr>
            <w:tcW w:type="dxa" w:w="148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32768;131072;262144</w:t>
            </w:r>
          </w:p>
        </w:tc>
        <w:tc>
          <w:tcPr>
            <w:tcW w:type="dxa" w:w="24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not frozen；no formal result</w:t>
            </w:r>
          </w:p>
        </w:tc>
      </w:tr>
      <w:tr>
        <w:trPr>
          <w:cantSplit/>
        </w:trPr>
        <w:tc>
          <w:tcPr>
            <w:tcW w:type="dxa" w:w="22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P2_requires_curated_labels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QTL/GWAS区间内候选基因/变异的位点内排序</w:t>
            </w:r>
          </w:p>
        </w:tc>
        <w:tc>
          <w:tcPr>
            <w:tcW w:type="dxa" w:w="148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8192;65536;131072</w:t>
            </w:r>
          </w:p>
        </w:tc>
        <w:tc>
          <w:tcPr>
            <w:tcW w:type="dxa" w:w="24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blocked；missing locked labels/crosswalk</w:t>
            </w:r>
          </w:p>
        </w:tc>
      </w:tr>
    </w:tbl>
    <w:p>
      <w:pPr>
        <w:spacing w:after="20"/>
      </w:pPr>
    </w:p>
    <w:p>
      <w:pPr>
        <w:pStyle w:val="Heading3"/>
      </w:pPr>
      <w:r>
        <w:t>17.2 标签、最低计划规模和主指标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656"/>
        <w:gridCol w:w="2737"/>
        <w:gridCol w:w="2737"/>
        <w:gridCol w:w="2737"/>
      </w:tblGrid>
      <w:tr>
        <w:trPr>
          <w:cantSplit/>
          <w:tblHeader w:val="true"/>
        </w:trPr>
        <w:tc>
          <w:tcPr>
            <w:tcW w:type="dxa" w:w="165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任务ID</w:t>
            </w:r>
          </w:p>
        </w:tc>
        <w:tc>
          <w:tcPr>
            <w:tcW w:type="dxa" w:w="273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标签/输出</w:t>
            </w:r>
          </w:p>
        </w:tc>
        <w:tc>
          <w:tcPr>
            <w:tcW w:type="dxa" w:w="273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最低计划train / validation / test</w:t>
            </w:r>
          </w:p>
        </w:tc>
        <w:tc>
          <w:tcPr>
            <w:tcW w:type="dxa" w:w="273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主指标</w:t>
            </w:r>
          </w:p>
        </w:tc>
      </w:tr>
      <w:tr>
        <w:trPr>
          <w:cantSplit/>
        </w:trPr>
        <w:tc>
          <w:tcPr>
            <w:tcW w:type="dxa" w:w="165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 multiclass segmentation＋boundary detection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100,000 / 10,000 / 10,000 windows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macro-F1；boundary-F1@2/10bp；segment IoU</w:t>
            </w:r>
          </w:p>
        </w:tc>
      </w:tr>
      <w:tr>
        <w:trPr>
          <w:cantSplit/>
        </w:trPr>
        <w:tc>
          <w:tcPr>
            <w:tcW w:type="dxa" w:w="165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local-matched paired binary/ranking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40,000 / 5,000 / 5,000 pairs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paired AUPRC；pair accuracy；context gain；calibration</w:t>
            </w:r>
          </w:p>
        </w:tc>
      </w:tr>
      <w:tr>
        <w:trPr>
          <w:cantSplit/>
        </w:trPr>
        <w:tc>
          <w:tcPr>
            <w:tcW w:type="dxa" w:w="165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junction/poly(A) multi-label；delta-PSI/usage regression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30,000 / 5,000 / 5,000 genes/windows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macro-AUPRC；Pearson(delta-PSI)；junction boundary F1</w:t>
            </w:r>
          </w:p>
        </w:tc>
      </w:tr>
      <w:tr>
        <w:trPr>
          <w:cantSplit/>
        </w:trPr>
        <w:tc>
          <w:tcPr>
            <w:tcW w:type="dxa" w:w="165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dominance 3-class＋homoeolog expression difference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4,000 / 4,000 homoeolog sets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macro-F1；macro Pearson；within-triad ranking accuracy</w:t>
            </w:r>
          </w:p>
        </w:tc>
      </w:tr>
      <w:tr>
        <w:trPr>
          <w:cantSplit/>
        </w:trPr>
        <w:tc>
          <w:tcPr>
            <w:tcW w:type="dxa" w:w="165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ref/alt delta regression＋direction classification＋TE boundary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4,000 / 4,000 allele pairs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delta-expression Pearson；sign AUROC/AUPRC；boundary F1；calibration</w:t>
            </w:r>
          </w:p>
        </w:tc>
      </w:tr>
      <w:tr>
        <w:trPr>
          <w:cantSplit/>
        </w:trPr>
        <w:tc>
          <w:tcPr>
            <w:tcW w:type="dxa" w:w="165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 segmentation＋intact-copy count＋cluster class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3,000 / 3,000 windows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boundary F1；copy-count MAE；macro-F1；low-homology sensitivity</w:t>
            </w:r>
          </w:p>
        </w:tc>
      </w:tr>
      <w:tr>
        <w:trPr>
          <w:cantSplit/>
        </w:trPr>
        <w:tc>
          <w:tcPr>
            <w:tcW w:type="dxa" w:w="165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tissue/stress multi-label accessibility/activity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50,000 / 10,000 / 10,000 peaks＋matched negatives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macro-AUPRC；per-tissue AUPRC；calibration；cross-species transfer</w:t>
            </w:r>
          </w:p>
        </w:tc>
      </w:tr>
      <w:tr>
        <w:trPr>
          <w:cantSplit/>
        </w:trPr>
        <w:tc>
          <w:tcPr>
            <w:tcW w:type="dxa" w:w="165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paired SV class＋expression delta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30,000 / 5,000 / 5,000 locus pairs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macro-F1；delta-expression Pearson；top-k locus ranking</w:t>
            </w:r>
          </w:p>
        </w:tc>
      </w:tr>
      <w:tr>
        <w:trPr>
          <w:cantSplit/>
        </w:trPr>
        <w:tc>
          <w:tcPr>
            <w:tcW w:type="dxa" w:w="165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locus-wise candidate ranking＋ref/alt delta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at least 500 / 100 / 100 independent loci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MRR；hit@1/5/10；locus-level AUCPR；locus bootstrap</w:t>
            </w:r>
          </w:p>
        </w:tc>
      </w:tr>
    </w:tbl>
    <w:p>
      <w:pPr>
        <w:spacing w:after="20"/>
      </w:pPr>
    </w:p>
    <w:p>
      <w:pPr>
        <w:pStyle w:val="Heading2"/>
      </w:pPr>
      <w:r>
        <w:t>18. 每个新增任务的详细设计</w:t>
      </w:r>
    </w:p>
    <w:p>
      <w:pPr>
        <w:pStyle w:val="Heading3"/>
      </w:pPr>
      <w:r>
        <w:t>1. CROP-LONGGENE-SEG（P0_data_ready）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能否在完整长基因上下文中联合标注启动子、UTR、CDS、内含子、剪接边界和TES。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token-level multiclass segmentation + boundary detection。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现有258个NCBI GenBank/RefSeq assembly的FASTA+GFF3；只纳入高质量可调用区域。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current source available; task release not built。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8192;32768;65536;131072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train=100000 windows，validation=10000 windows，test=10000 windows。若真实可用数据达不到该门槛，应缩小声明或停止任务，不能用复制样本凑数。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最高层genus/assembly隔离；蛋白家族和15-mer近重复去泄漏；长基因长度分层。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macro-F1; boundary-F1@2/10bp; segment IoU。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AgroNT/NT-v2短上下文不能一次看到完整64K/128K；必须另报chunked track；PlantCAD2/PlantCaduceus/HyenaDNA/Caduceus为真正长上下文对手。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相对最强native plant baseline macro-F1下界&gt;0且绝对提升&gt;=0.02；相对最佳chunked短模型&gt;=0.03；Holm校正。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GFF注释预测，不等于新基因功能或湿实验验证。</w:t>
      </w:r>
    </w:p>
    <w:p>
      <w:pPr>
        <w:pStyle w:val="Heading3"/>
      </w:pPr>
      <w:r>
        <w:t>2. CROP-DISTAL-CIS-PAIR（P0_buildable_plus_functional_labels）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局部2K序列近似相同时，远端顺式调控背景能否决定启动子/TES活性。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paired binary/ranking with local-context matched pairs。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现有GFF/FASTA用于结构候选；Plant Genomic Benchmark cassava PRO-seq及后续冻结的作物PRO-seq/CAGE/PAS-seq作为功能标签。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candidate sources partly available; exact functional accessions must be frozen。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2048;8192;32768;65536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train=40000 paired windows，validation=5000 pairs，test=5000 pairs。若真实可用数据达不到该门槛，应缩小声明或停止任务，不能用复制样本凑数。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按物种/实验study隔离；中心2K GC、motif、同源度匹配；远端序列置换作为反事实控制。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paired AUPRC; pair accuracy; context gain; calibration。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短模型在native track看不到被设计为决定标签的远端区域；PlantCAD2/PlantCaduceus等长模型仍可公平竞争。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64K相对2K paired AUPRC提升CI下界&gt;0；相对最强native baseline&gt;=0.02；远端置换必须显著消除增益。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只有功能测序标签可支持调控活性；纯GFF版本只能称结构上下文任务。</w:t>
      </w:r>
    </w:p>
    <w:p>
      <w:pPr>
        <w:pStyle w:val="Heading3"/>
      </w:pPr>
      <w:r>
        <w:t>3. CROP-ISOFORM-LR（P1_needs_release_freeze）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能否利用完整基因上下文预测组织/胁迫条件下的可变剪接和可变poly(A)使用。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multi-label junction/polyA usage; delta-PSI or usage regression。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公开作物Iso-Seq/long-read RNA-seq与配套短读长RNA-seq；NCBI SRA/ENA；exact accessions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no current formal result。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8192;65536;131072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train=30000 genes/isoform windows，validation=5000，test=5000。若真实可用数据达不到该门槛，应缩小声明或停止任务，不能用复制样本凑数。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study×species隔离；gene-family cluster disjoint；表达可检测性callable universe。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macro-AUPRC; Pearson(delta-PSI); junction boundary F1。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长内含子和多个候选位点超出AgroNT/NT-v2单窗口；chunking作为弱等价对照。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相对最强native baseline AUPRC&gt;=+0.02或Pearson&gt;=+0.03且CI下界&gt;0。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预测转录本使用，不直接证明表型因果。</w:t>
      </w:r>
    </w:p>
    <w:p>
      <w:pPr>
        <w:pStyle w:val="Heading3"/>
      </w:pPr>
      <w:r>
        <w:t>4. CROP-POLYPLOID-HOMEOLOG（P1_crop_specific）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能否识别小麦/棉花/油菜同源亚基因组基因的表达优势、抑制或平衡状态。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3-class dominance + continuous homoeolog expression difference。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NCBI/Ensembl Plants参考与亚基因组注释；公开多组织RNA-seq/Expression Atlas；exact releases/accessions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no current formal result。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8192;32768;65536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train=20000 homoeolog sets，validation=4000 sets，test=4000 sets。若真实可用数据达不到该门槛，应缩小声明或停止任务，不能用复制样本凑数。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整套homoeolog group不可跨split；按gene family、品种和study隔离；表达批次train-only归一化。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macro-F1; macro Pearson; within-triad ranking accuracy。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作物多倍体特有；通用非植物NT-v2无植物预训练，AgroNT虽植物专用但native上下文较短；PlantCAD2/PlantCaduceus为关键强基线。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超过max(AgroNT,PlantCAD2,PlantCaduceus,NT-v2-500M,Evo2)的同口径最强值，MMED=0.02 F1或0.03 Pearson，CI下界&gt;0。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表达优势不是亚基因组进化机制或育种价值的直接证明。</w:t>
      </w:r>
    </w:p>
    <w:p>
      <w:pPr>
        <w:pStyle w:val="Heading3"/>
      </w:pPr>
      <w:r>
        <w:t>5. CROP-TE-SV-REG（P1_crop_specific_long_context）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能否从含/不含TE插入的等位/单倍型序列对预测表达方向和幅度变化。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paired ref/alt delta regression + direction classification + TE boundary。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作物pan-genome/SV release + EDTA高置信TE + matched RNA-seq/eQTL；exact source releases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blocked until EDTA QC and paired functional labels are frozen。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32768;131072;262144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train=20000 allele pairs，validation=4000 pairs，test=4000 pairs。若真实可用数据达不到该门槛，应缩小声明或停止任务，不能用复制样本凑数。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同一variant pair同split；按locus/gene family/品种隔离；仅callable matched negatives。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delta-expression Pearson; sign AUROC/AUPRC; boundary F1; calibration。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256K超出当前AgroNT/NT-v2和本地Evo2-8K；PlantCAD2/PlantCaduceus/HyenaDNA/Caduceus按真实native能力进入。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相对最强native长模型Pearson&gt;=+0.03且CI下界&gt;0；相对序列组成/SV长度基线显著。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不得把缺失TE或无表达测量样本当负例；关联不等于因果。</w:t>
      </w:r>
    </w:p>
    <w:p>
      <w:pPr>
        <w:pStyle w:val="Heading3"/>
      </w:pPr>
      <w:r>
        <w:t>6. CROP-NLR-CLUSTER（P1_crop_specific_repeat_rich）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能否在重复富集的抗病NLR基因簇中识别完整基因、伪基因和簇边界。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token segmentation + intact-copy count + cluster classification。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高质量作物组装；经NLR-Annotator/人工注释交叉确认的NLR registry；exact release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computational labels require manual QC tier。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65536;131072;262144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train=20000 cluster/background windows，validation=3000，test=3000。若真实可用数据达不到该门槛，应缩小声明或停止任务，不能用复制样本凑数。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按NLR family cluster和作物genus隔离；重复相似度分层；近重复去泄漏。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boundary F1; copy-count MAE; macro-F1; low-homology sensitivity。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长重复簇是作物育种专属难点；短Transformer只能chunk；长植物模型是主要对手。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boundary-F1&gt;=+0.03或copy-count MAE相对降低&gt;=10%，bootstrap CI支持且低同源子集保持。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计算预测NLR结构，不代表抗病表型或功能验证。</w:t>
      </w:r>
    </w:p>
    <w:p>
      <w:pPr>
        <w:pStyle w:val="Heading3"/>
      </w:pPr>
      <w:r>
        <w:t>7. CROP-ACR-STRESS（P1_functional）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能否跨作物预测组织/胁迫特异开放染色质与远端调控元件。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multi-label accessibility/activity classification。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公开作物ATAC-seq/DNase-seq/PRO-seq；木薯PRO-seq现有；其余exact accessions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one cassava task available; cross-crop panel not frozen。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2048;8192;32768;65536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train=50000 peaks+matched negatives，validation=10000，test=10000。若真实可用数据达不到该门槛，应缩小声明或停止任务，不能用复制样本凑数。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study/site-year/species隔离；GC、mappability、distance-to-TSS匹配；blacklist和可调用区限定。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macro-AUPRC; per-tissue AUPRC; calibration; cross-species transfer。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检验作物特异调控语法；NT-v2不含植物，AgroNT是强植物短上下文基线，PlantCAD2/PlantCaduceus是强植物长上下文基线。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通用任务对最强植物基线非劣（AUPRC差CI下界&gt;-0.02）；作物长程子集优效&gt;=+0.02。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开放染色质不等于增强子，也不等于目标基因因果调控。</w:t>
      </w:r>
    </w:p>
    <w:p>
      <w:pPr>
        <w:pStyle w:val="Heading3"/>
      </w:pPr>
      <w:r>
        <w:t>8. CROP-PANGENOME-SV（P2_breeding_relevance）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能否从成对单倍型长序列预测基因PAV/SV类别及其转录影响。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paired structural variant classification + expression delta。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水稻/玉米/大豆/小麦公开pan-genome和配套表达；exact release/crosswalk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no current formal result。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32768;131072;262144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train=30000 locus pairs，validation=5000 pairs，test=5000 pairs。若真实可用数据达不到该门槛，应缩小声明或停止任务，不能用复制样本凑数。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locus和haplotype group隔离；群体/品种最高层bootstrap；reference bias audit。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macro-F1; delta-expression Pearson; top-k locus ranking。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复杂SV无法由单个512-bp窗口完整描述；长植物模型仍作为公平强基线。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对最强native长模型达到预注册MMED并在非参考单倍型子集保持。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PAV/SV预测不等于农艺性状因果。</w:t>
      </w:r>
    </w:p>
    <w:p>
      <w:pPr>
        <w:pStyle w:val="Heading3"/>
      </w:pPr>
      <w:r>
        <w:t>9. CROP-QTL-VAR-RANK（P2_requires_curated_labels）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能否在QTL/GWAS区间内排序有实验或精细定位支持的候选基因/变异。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locus-wise ranking; ref-alt delta scoring。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公开作物GWAS/QTL/fine-mapping与功能验证registry；exact version and gene-ID crosswalk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currently blocked; missing locked labels/crosswalk。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8192;65536;131072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train=at least 500 independent loci，validation=at least 100 loci，test=at least 100 loci。若真实可用数据达不到该门槛，应缩小声明或停止任务，不能用复制样本凑数。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整个位点和study同split；按染色体/群体隔离；禁止nearest-gene伪标签。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MRR; hit@1/5/10; locus-level AUCPR; bootstrap by locus。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这是育种决策任务，不仅是通用序列分类；所有基础模型还必须与距离、功能注释和传统精细定位强基线比较。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对最佳序列基础模型和最佳非深度强基线均达到预注册MMED；否则只报告诊断价值。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候选排序不能宣称发现因果基因；必须保留实验验证需求。</w:t>
      </w:r>
    </w:p>
    <w:p>
      <w:pPr>
        <w:pStyle w:val="Heading2"/>
      </w:pPr>
      <w:r>
        <w:t>19. 如何做到“通用任务媲美、作物专属任务超过”而不作弊</w:t>
      </w:r>
    </w:p>
    <w:p>
      <w:pPr>
        <w:pStyle w:val="Heading3"/>
      </w:pPr>
      <w:r>
        <w:t>19.1 三条并列赛道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Common native track：</w:t>
      </w:r>
      <w:r>
        <w:rPr>
          <w:rFonts w:ascii="Arial" w:hAnsi="Arial" w:eastAsia="Microsoft YaHei"/>
          <w:color w:val="20252B"/>
          <w:sz w:val="20"/>
        </w:rPr>
        <w:t xml:space="preserve"> 512/2K/6K等所有模型都能无截断处理的通用任务。目标是对最强植物基线非劣，而不是只赢random-init。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Long native track：</w:t>
      </w:r>
      <w:r>
        <w:rPr>
          <w:rFonts w:ascii="Arial" w:hAnsi="Arial" w:eastAsia="Microsoft YaHei"/>
          <w:color w:val="20252B"/>
          <w:sz w:val="20"/>
        </w:rPr>
        <w:t xml:space="preserve"> 32K/64K/128K/256K完整输入。只有能原生读取全部序列的模型进入；其他模型标N/E，不记0分。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Compute-matched chunked track：</w:t>
      </w:r>
      <w:r>
        <w:rPr>
          <w:rFonts w:ascii="Arial" w:hAnsi="Arial" w:eastAsia="Microsoft YaHei"/>
          <w:color w:val="20252B"/>
          <w:sz w:val="20"/>
        </w:rPr>
        <w:t xml:space="preserve"> 对AgroNT、NT-v2 500M等短模型，把同一长序列切块，冻结统一的attention/mean aggregator，并匹配总读取碱基量与probe参数。它不能等同原生长程，但能回答“多块证据汇总是否足够”。</w:t>
      </w:r>
    </w:p>
    <w:p>
      <w:pPr>
        <w:pStyle w:val="Heading3"/>
      </w:pPr>
      <w:r>
        <w:t>19.2 必加基线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植物专属：AgroNT 1B、PlantCAD2 Small、PlantCaduceus l32。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通用规模：NT-v2 500M、Evo2 1B。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通用长程：HyenaDNA 160K、Caduceus 131K。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短序列常见：DNABERT2、NT-v2 100M。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非基础模型强基线：1/3/6-mer、GC/组成、中心motif、CNN/ResNet、任务领域经典模型、QTL距离/功能注释模型。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消融：CropGenome-FM random-init、无RC、无region、无attention dilation、不同context。</w:t>
      </w:r>
    </w:p>
    <w:p>
      <w:pPr>
        <w:pStyle w:val="Heading3"/>
      </w:pPr>
      <w:r>
        <w:t>19.3 预注册成功标准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通用任务非劣：</w:t>
      </w:r>
      <w:r>
        <w:rPr>
          <w:rFonts w:ascii="Arial" w:hAnsi="Arial" w:eastAsia="Microsoft YaHei"/>
          <w:color w:val="20252B"/>
          <w:sz w:val="20"/>
        </w:rPr>
        <w:t xml:space="preserve"> 本模型减最强植物基线的95% CI下界大于−0.02 AUPRC或−0.03 Pearson。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作物专属优效：</w:t>
      </w:r>
      <w:r>
        <w:rPr>
          <w:rFonts w:ascii="Arial" w:hAnsi="Arial" w:eastAsia="Microsoft YaHei"/>
          <w:color w:val="20252B"/>
          <w:sz w:val="20"/>
        </w:rPr>
        <w:t xml:space="preserve"> 对同赛道最强baseline至少+0.02 AUPRC/F1或+0.03 Pearson，且group-bootstrap 95% CI下界&gt;0。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上下文因果：</w:t>
      </w:r>
      <w:r>
        <w:rPr>
          <w:rFonts w:ascii="Arial" w:hAnsi="Arial" w:eastAsia="Microsoft YaHei"/>
          <w:color w:val="20252B"/>
          <w:sz w:val="20"/>
        </w:rPr>
        <w:t xml:space="preserve"> 64K必须显著优于相同样本的2K/8K；远端shuffle或替换后增益应消失。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预训练有效：</w:t>
      </w:r>
      <w:r>
        <w:rPr>
          <w:rFonts w:ascii="Arial" w:hAnsi="Arial" w:eastAsia="Microsoft YaHei"/>
          <w:color w:val="20252B"/>
          <w:sz w:val="20"/>
        </w:rPr>
        <w:t xml:space="preserve"> 必须超过同架构random-init；否则不能把优势归因于预训练。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多seed：</w:t>
      </w:r>
      <w:r>
        <w:rPr>
          <w:rFonts w:ascii="Arial" w:hAnsi="Arial" w:eastAsia="Microsoft YaHei"/>
          <w:color w:val="20252B"/>
          <w:sz w:val="20"/>
        </w:rPr>
        <w:t xml:space="preserve"> 至少5个probe/fine-tune seeds；报告mean、SD、95% CI和最高单seed，不能用最高单seed冒充稳定值。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多任务校正：</w:t>
      </w:r>
      <w:r>
        <w:rPr>
          <w:rFonts w:ascii="Arial" w:hAnsi="Arial" w:eastAsia="Microsoft YaHei"/>
          <w:color w:val="20252B"/>
          <w:sz w:val="20"/>
        </w:rPr>
        <w:t xml:space="preserve"> 主要claim family内使用Holm校正；effect size和CI优先于只报p值。</w:t>
      </w:r>
    </w:p>
    <w:p>
      <w:pPr>
        <w:pStyle w:val="Heading3"/>
      </w:pPr>
      <w:r>
        <w:t>19.4 九项作物专属任务如何对关键基线形成真实压力测试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下表中的“预计限制”是待检验假设，不是已观察到的失败结果。任何任务都必须先运行所有符合资格的强基线，才能判断本模型是否真正解决了别人解决不了或性能较差的问题。完整逐基线说明见</w:t>
      </w:r>
      <w:r>
        <w:rPr>
          <w:rFonts w:ascii="Consolas" w:hAnsi="Consolas" w:eastAsia="Microsoft YaHei"/>
          <w:color w:val="183153"/>
          <w:sz w:val="19"/>
        </w:rPr>
        <w:t>source_data/future_task_baseline_capability_matrix.tsv</w:t>
      </w:r>
      <w:r>
        <w:rPr>
          <w:rFonts w:ascii="Arial" w:hAnsi="Arial" w:eastAsia="Microsoft YaHei"/>
          <w:color w:val="20252B"/>
          <w:sz w:val="21"/>
        </w:rPr>
        <w:t>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75"/>
        <w:gridCol w:w="2272"/>
        <w:gridCol w:w="2272"/>
        <w:gridCol w:w="1674"/>
        <w:gridCol w:w="2272"/>
      </w:tblGrid>
      <w:tr>
        <w:trPr>
          <w:cantSplit/>
          <w:tblHeader w:val="true"/>
        </w:trPr>
        <w:tc>
          <w:tcPr>
            <w:tcW w:type="dxa" w:w="137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作物专属或复杂信息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AgroNT 1B、NT-v2 500M、Evo2的压力点</w:t>
            </w:r>
          </w:p>
        </w:tc>
        <w:tc>
          <w:tcPr>
            <w:tcW w:type="dxa" w:w="167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PlantCAD2/PlantCaduceus角色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本模型必须满足的胜出条件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64–128K完整基因内同时标注启动子、UTR、CDS、长内含子、剪接和TES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AgroNT/NT-v2原生窗口短；Evo2当前本地runtime只冻结8K；都必须给chunked或重新Gate结果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真正植物长上下文强对手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对最强native植物基线macro-F1至少+0.02且CI下界&gt;0；同时超过最佳chunked短模型至少+0.03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中心2K匹配、只有远端背景改变标签的配对调控任务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短模型native看不到决定标签的远端序列；Evo2需重新冻结64K能力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必须同样读取完整远端上下文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64K相对2K有配对增益，超过最强native至少+0.02，且远端置换后增益消失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长内含子、多候选剪接和poly(A)位点的条件使用率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分块可能丢失跨内含子与位点竞争；通用模型还缺作物条件标签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gene-family和study隔离下的首要长模型对手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AUPRC至少+0.02或Pearson至少+0.03且CI下界&gt;0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小麦、棉花、油菜同源亚基因组表达优势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通用模型缺作物多倍体域；但序列模型都必须与表达先验比较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最重要的植物序列对手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超过五个指定基础模型的同口径最优值，并超过表达/同源组传统强基线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32–256K成对单倍型中的TE/SV边界及表达delta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AgroNT/NT-v2无法原生覆盖大SV；Evo2当前8K冻结配置不足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按真实Gate长度进入native赛道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Pearson至少+0.03且CI下界&gt;0，并显著超过SV长度/TE家族/距TSS等基线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65–256K重复富集抗病基因簇、伪基因、拷贝数和边界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短模型能认局部motif但难一次计数整簇；Evo2需长输入Gate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必须比较低同源与近重复去泄漏子集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boundary-F1至少+0.03或copy-count MAE降低至少10%，低同源子集保持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跨作物、组织、胁迫的开放染色质与远端活性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AgroNT是局部植物强基线；NT-v2 500M检验规模；Evo2检验通用字符预训练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现有外部任务最强对手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common子集非劣；远端作物子集优效至少+0.02；不能只报告获胜组织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水稻/玉米/大豆/小麦非参考单倍型PAV/SV及转录影响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短模型不能完整描述复杂SV；Evo2需计算量匹配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在非参考单倍型上必须保持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超过最强native长模型的预注册MMED，并通过reference-bias审计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QTL/GWAS位点内候选变异/基因排序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长度未必是瓶颈，任何模型都不能靠规模自动胜出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同一locus候选集和ranking head公平比较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同时超过最佳序列模型和距离、功能注释、fine-mapping传统强基线，否则只作诊断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最能形成“其他短模型不能原生解决”的是完整长基因、远端匹配对、TE/SV和NLR簇，因为标签所需信息被明确放在32–256K范围；但PlantCAD2、PlantCaduceus、HyenaDNA、Caduceus或经验证可长输入的Evo2仍可能解决这些任务。因此真正可发表的创新不是“别人长度不够”，而是本模型在相同信息、相同split、相同probe预算下对最强eligible baseline产生稳定、可重复、达到MMED的优势。</w:t>
      </w:r>
    </w:p>
    <w:p>
      <w:pPr>
        <w:pStyle w:val="Heading2"/>
      </w:pPr>
      <w:r>
        <w:t>20. 推荐的下一版预训练设计</w:t>
      </w:r>
    </w:p>
    <w:p>
      <w:pPr>
        <w:pStyle w:val="Heading3"/>
      </w:pPr>
      <w:r>
        <w:t>20.1 先冻结benchmark，再训练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 xml:space="preserve">先完成P0 </w:t>
      </w:r>
      <w:r>
        <w:rPr>
          <w:rFonts w:ascii="Consolas" w:hAnsi="Consolas" w:eastAsia="Microsoft YaHei"/>
          <w:color w:val="183153"/>
          <w:sz w:val="19"/>
        </w:rPr>
        <w:t>CROP-LONGGENE-SEG</w:t>
      </w:r>
      <w:r>
        <w:rPr>
          <w:rFonts w:ascii="Arial" w:hAnsi="Arial" w:eastAsia="Microsoft YaHei"/>
          <w:color w:val="20252B"/>
          <w:sz w:val="21"/>
        </w:rPr>
        <w:t>和</w:t>
      </w:r>
      <w:r>
        <w:rPr>
          <w:rFonts w:ascii="Consolas" w:hAnsi="Consolas" w:eastAsia="Microsoft YaHei"/>
          <w:color w:val="183153"/>
          <w:sz w:val="19"/>
        </w:rPr>
        <w:t>CROP-DISTAL-CIS-PAIR</w:t>
      </w:r>
      <w:r>
        <w:rPr>
          <w:rFonts w:ascii="Arial" w:hAnsi="Arial" w:eastAsia="Microsoft YaHei"/>
          <w:color w:val="20252B"/>
          <w:sz w:val="21"/>
        </w:rPr>
        <w:t>的数据合同、baseline runtime与validation-only pilot；同时冻结NT-v2 500M。只有当这些任务能真实区分local shortcut和long-context能力时，再投入64K/128K/256K正式训练。</w:t>
      </w:r>
    </w:p>
    <w:p>
      <w:pPr>
        <w:pStyle w:val="Heading3"/>
      </w:pPr>
      <w:r>
        <w:t>20.2 单一连续mixed-context run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不建议继续把每个context当成重置optimizer的新阶段。下一版建议保持单一optimizer和连续学习率，在每个训练周期按token比例混合1K、8K、32K、64K、128K、256K。一个待preflight的初始token配比是10%/25%/25%/20%/15%/5%；最终比例必须由2–3×H20 96GB真实吞吐、OOM边界和validation收益冻结，不能凭文档直接执行。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这样做的目的：短窗口维持局部motif和高吞吐，长窗口逐步提供远端结构；所有loss按有效token/label count正确加权，避免128K样本因batch小而被低估。</w:t>
      </w:r>
    </w:p>
    <w:p>
      <w:pPr>
        <w:pStyle w:val="Heading3"/>
      </w:pPr>
      <w:r>
        <w:t>20.3 推荐新增预训练目标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保留MLM、RC一致性和窗口region分类。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新增token-level region segmentation，但只使用train assembly标签。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新增到TSS/TES/splice/TE边界的距离或边界分类。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新增同一locus多context表示一致性，且用global token保留远端增益。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ref/alt或haplotype对比目标只在不会污染formal variant test的独立数据上使用。</w:t>
      </w:r>
    </w:p>
    <w:p>
      <w:pPr>
        <w:pStyle w:val="Heading3"/>
      </w:pPr>
      <w:r>
        <w:t>20.4 训练预算和停止规则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369.5M参数模型当前step14000约10 token/参数。下一版可把12–20B有效训练token作为初始计算预算范围，而不是强制“1 epoch”；最终由固定validation selection loss、P0 validation task和吞吐成本共同决定。正式test不得用于早停。</w:t>
      </w:r>
    </w:p>
    <w:p>
      <w:pPr>
        <w:pStyle w:val="Heading3"/>
      </w:pPr>
      <w:r>
        <w:t>20.5 必要Gate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每个长度都做真实forward/backward/optimizer step。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变长梯度与token权重和单卡参考一致。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checkpoint原子保存、optimizer/step/RNG精确恢复。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无静默truncation；每个模型、每个任务输出eligible/excluded审计。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训练数据与formal test做exact hash、MinHash/15-mer和gene-family三层去泄漏。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64K/128K/256K下游embedding吞吐可完成，不能只有预训练能跑而评估跑不了。</w:t>
      </w:r>
    </w:p>
    <w:p>
      <w:pPr>
        <w:pStyle w:val="Heading2"/>
      </w:pPr>
      <w:r>
        <w:t>21. 统计分析和test使用规则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分类按独立species/locus/study group bootstrap，而不是把相邻窗口当独立重复。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表达任务同时报告macro Pearson及per-output分布；用Fisher-z或group bootstrap构造CI。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配对context比较使用同一sample ID和相同split；对每个sample做paired bootstrap。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多倍体任务以homoeolog group为抽样单元；pan-genome任务以locus/haplotype group为抽样单元。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模型/超参数在validation冻结后，formal test只运行一次主分析；必要的错误修复必须版本化新release，不能覆盖旧结果。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失败任务也进入结果表；不能只发表本模型获胜的子集。</w:t>
      </w:r>
    </w:p>
    <w:p>
      <w:pPr>
        <w:pStyle w:val="Heading2"/>
      </w:pPr>
      <w:r>
        <w:t>22. 执行优先级与停止条件</w:t>
      </w:r>
    </w:p>
    <w:p>
      <w:pPr>
        <w:pStyle w:val="Heading3"/>
      </w:pPr>
      <w:r>
        <w:t>Phase 0：文档和基线补齐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冻结本报告、source data和图。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下载并hash锁定NT-v2 500M；先跑512/2K common track。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修正README状态只能在重新生成final manifest后进行；本次不改已锁定README。</w:t>
      </w:r>
    </w:p>
    <w:p>
      <w:pPr>
        <w:pStyle w:val="Heading3"/>
      </w:pPr>
      <w:r>
        <w:t>Phase 1：P0数据与验证面板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从现有FASTA/GFF构建</w:t>
      </w:r>
      <w:r>
        <w:rPr>
          <w:rFonts w:ascii="Consolas" w:hAnsi="Consolas" w:eastAsia="Microsoft YaHei"/>
          <w:color w:val="183153"/>
          <w:sz w:val="19"/>
        </w:rPr>
        <w:t>CROP-LONGGENE-SEG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用现有木薯PRO-seq＋可冻结结构label构建</w:t>
      </w:r>
      <w:r>
        <w:rPr>
          <w:rFonts w:ascii="Consolas" w:hAnsi="Consolas" w:eastAsia="Microsoft YaHei"/>
          <w:color w:val="183153"/>
          <w:sz w:val="19"/>
        </w:rPr>
        <w:t>CROP-DISTAL-CIS-PAIR</w:t>
      </w:r>
      <w:r>
        <w:rPr>
          <w:rFonts w:ascii="Arial" w:hAnsi="Arial" w:eastAsia="Microsoft YaHei"/>
          <w:color w:val="20252B"/>
          <w:sz w:val="20"/>
        </w:rPr>
        <w:t>pilot。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先跑传统baseline和现有step14000/PlantCAD2/PlantCaduceus，确认任务不是GC/motif捷径。</w:t>
      </w:r>
    </w:p>
    <w:p>
      <w:pPr>
        <w:pStyle w:val="Heading3"/>
      </w:pPr>
      <w:r>
        <w:t>Phase 2：64K训练决策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只有当P0 validation证明：a) 远端context真正有信息；b) 当前模型对长任务有可改善空间；c) H20吞吐可接受，才启动continuous mixed-context正式run。否则停止盲目长训练，优先修数据或架构。</w:t>
      </w:r>
    </w:p>
    <w:p>
      <w:pPr>
        <w:pStyle w:val="Heading3"/>
      </w:pPr>
      <w:r>
        <w:t>Phase 3：P1作物专属任务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逐项冻结Iso-Seq、polyploid、TE/SV、NLR、ATAC/PRO-seq release和accession；任何缺可信标签的任务转为blocked，不用推测数据填充。</w:t>
      </w:r>
    </w:p>
    <w:p>
      <w:pPr>
        <w:pStyle w:val="Heading3"/>
      </w:pPr>
      <w:r>
        <w:t>Phase 4：一次性formal test与论文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validation锁定模型、任务和统计脚本后再跑test；主文同时展示通用非劣和作物专属优效，并保留负结果。</w:t>
      </w:r>
    </w:p>
    <w:p>
      <w:pPr>
        <w:pStyle w:val="Heading2"/>
      </w:pPr>
      <w:r>
        <w:t>23. 可复现性、source data和GitHub交付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本目录只提交报告、聚合source-data、构图/构文档脚本和图，不提交原始FASTA/GFF、checkpoint、embedding或大结果目录。聚合表包括：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source_data/assembly_species_summary.tsv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source_data/pretraining_stage_summary.tsv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source_data/model_architecture_parameters.tsv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source_data/pretraining_objectives.tsv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source_data/aggregate_primary_metrics.tsv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source_data/baseline_gap_summary.tsv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source_data/downstream_taxonomy_detail.tsv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source_data/downstream_taxonomy_summary.tsv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source_data/future_task_baseline_capability_matrix.tsv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source_data/public_resource_registry.tsv</w:t>
      </w:r>
    </w:p>
    <w:p>
      <w:pPr>
        <w:widowControl/>
      </w:pPr>
      <w:r>
        <w:rPr>
          <w:rFonts w:ascii="Consolas" w:hAnsi="Consolas" w:eastAsia="Microsoft YaHei"/>
          <w:color w:val="183153"/>
          <w:sz w:val="19"/>
        </w:rPr>
        <w:t>core_primary_metrics.tsv</w:t>
      </w:r>
      <w:r>
        <w:rPr>
          <w:rFonts w:ascii="Arial" w:hAnsi="Arial" w:eastAsia="Microsoft YaHei"/>
          <w:color w:val="20252B"/>
          <w:sz w:val="21"/>
        </w:rPr>
        <w:t>包含全部核心正式任务×模型×context主指标；</w:t>
      </w:r>
      <w:r>
        <w:rPr>
          <w:rFonts w:ascii="Consolas" w:hAnsi="Consolas" w:eastAsia="Microsoft YaHei"/>
          <w:color w:val="183153"/>
          <w:sz w:val="19"/>
        </w:rPr>
        <w:t>external_primary_metrics.tsv</w:t>
      </w:r>
      <w:r>
        <w:rPr>
          <w:rFonts w:ascii="Arial" w:hAnsi="Arial" w:eastAsia="Microsoft YaHei"/>
          <w:color w:val="20252B"/>
          <w:sz w:val="21"/>
        </w:rPr>
        <w:t>包含全部外部正式任务×模型×context主指标。报告中的“全部性能”可由这两个表重新生成。</w:t>
      </w:r>
      <w:r>
        <w:rPr>
          <w:rFonts w:ascii="Consolas" w:hAnsi="Consolas" w:eastAsia="Microsoft YaHei"/>
          <w:color w:val="183153"/>
          <w:sz w:val="19"/>
        </w:rPr>
        <w:t>scripts/build_evidence_update_tables.py</w:t>
      </w:r>
      <w:r>
        <w:rPr>
          <w:rFonts w:ascii="Arial" w:hAnsi="Arial" w:eastAsia="Microsoft YaHei"/>
          <w:color w:val="20252B"/>
          <w:sz w:val="21"/>
        </w:rPr>
        <w:t>从真实样本表、assembly manifest和聚合指标生成新增四表，避免手工维护分类学数字或基线差距。</w:t>
      </w:r>
    </w:p>
    <w:p>
      <w:pPr>
        <w:pStyle w:val="Heading2"/>
      </w:pPr>
      <w:r>
        <w:t>24. 公开资源与冻结版本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158"/>
        <w:gridCol w:w="1913"/>
        <w:gridCol w:w="1913"/>
        <w:gridCol w:w="1913"/>
        <w:gridCol w:w="1913"/>
        <w:gridCol w:w="1057"/>
      </w:tblGrid>
      <w:tr>
        <w:trPr>
          <w:cantSplit/>
          <w:tblHeader w:val="true"/>
        </w:trPr>
        <w:tc>
          <w:tcPr>
            <w:tcW w:type="dxa" w:w="11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资源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公开URL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冻结revision/accession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当前用途</w:t>
            </w:r>
          </w:p>
        </w:tc>
        <w:tc>
          <w:tcPr>
            <w:tcW w:type="dxa" w:w="10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NCBI_Assembly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pretraining raw genomes/annotations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258 assembly accessions listed in local canonical manifest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FASTA/GFF source for pretraining and core benchmark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Plant_Genomic_Benchmark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downstream dataset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78ec8156c2ffb3e5475277fdb7eb603294224e53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 external tasks; 33 frozen artifacts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baseline model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b0e1ea1f53a2bf5bb29f8eab7a7e553bf06c1ab1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baseline model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f756c255cb76e9f538c3acec04acf4214ed03fb3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baseline model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e624c13c3d35415348b854c87a218893b23564f7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general baseline model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f34324c6fde36a4f635f0f1f06cac5d25acd6798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NTv2_500M_multi_species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required next-release general baseline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06615c1660c892fc199840c18123f8385b3542a8 inspected; weights not locally frozen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next benchmark release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planned_not_evaluated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general baseline model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7bce263b15377fc15361f52cfab88f8b586abda0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512-bp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long-context baseline model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7ebf71773d22c0ede2cc55cb2be15ee8c289e1ce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RC-equivariant long-context baseline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d89eeb853136ea64da7feb3d0c8e909771b17ae6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evolution-scale general baseline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2279e1df422c991037470302360edd40d0d2ea1e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 under frozen local runtime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</w:tbl>
    <w:p>
      <w:pPr>
        <w:spacing w:after="20"/>
      </w:pPr>
    </w:p>
    <w:p>
      <w:pPr>
        <w:pStyle w:val="Heading2"/>
      </w:pPr>
      <w:r>
        <w:t>25. 结论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当前最稳健结论不是“已经得到完整超长作物基因组大模型”，而是：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已得到一个真实训练的369.5M、8K作物基座；预训练相对同架构random-init有明确收益。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在核心结构任务的2K和8K宏平均上，本模型超过当前已评估公开基线；512 bp略低于PlantCAD2/PlantCaduceus。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在外部植物表达和lncRNA任务上，PlantCAD2/PlantCaduceus仍总体更强；这是真实差距。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Stage C1仅是可运行的64K架构＋569步partial run，没有64K科学结果。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下一步不应先盲目延长训练，而应先冻结NT-v2 500M和P0作物长程任务；然后用预注册的common/native-long/chunked三赛道决定是否训练和是否真正超过基线。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“我们的模型能解决而短模型不能原生解决”的任务必须由输入信息范围客观定义；“超过PlantCAD2/PlantCaduceus”必须靠结果，而不是靠排除它们。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核心下游是species-disjoint和genus-disjoint，但整体不是family-disjoint；相对Stage B只能宣称3/3测试accession隔离，不能宣称全部测试种、属或科均未见。</w:t>
      </w:r>
    </w:p>
    <w:p>
      <w:pPr>
        <w:sectPr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1"/>
      </w:pPr>
      <w:r>
        <w:t>附录A：258个assembly的30物种组成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763"/>
        <w:gridCol w:w="1381"/>
        <w:gridCol w:w="1243"/>
        <w:gridCol w:w="967"/>
        <w:gridCol w:w="1381"/>
        <w:gridCol w:w="967"/>
        <w:gridCol w:w="967"/>
        <w:gridCol w:w="967"/>
        <w:gridCol w:w="2072"/>
        <w:gridCol w:w="2486"/>
      </w:tblGrid>
      <w:tr>
        <w:trPr>
          <w:cantSplit/>
          <w:tblHeader w:val="true"/>
        </w:trPr>
        <w:tc>
          <w:tcPr>
            <w:tcW w:type="dxa" w:w="276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物种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属</w:t>
            </w:r>
          </w:p>
        </w:tc>
        <w:tc>
          <w:tcPr>
            <w:tcW w:type="dxa" w:w="124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assembly数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train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validation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test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GenBank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RefSeq</w:t>
            </w:r>
          </w:p>
        </w:tc>
        <w:tc>
          <w:tcPr>
            <w:tcW w:type="dxa" w:w="20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压缩genome bytes</w:t>
            </w:r>
          </w:p>
        </w:tc>
        <w:tc>
          <w:tcPr>
            <w:tcW w:type="dxa" w:w="24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压缩annotation bytes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 hypogaea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6,885,295,295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130,378,480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 vulgaris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333,376,382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14,467,706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napus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1,342,153,515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86,582,074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oleracea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667,451,826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40,503,375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rapa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622,896,641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51,784,078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 arietinum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144,900,890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9,134,001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 lanatus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113,766,894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4,010,033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melo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681,906,757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37,721,297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sativus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71,224,682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7,763,605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 carota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386,240,517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22,860,613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 max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2,998,714,788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128,096,637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 hirsutum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2,118,018,201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71,872,818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 annuus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8,097,097,230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134,318,644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 vulgare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106,304,970,965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975,123,353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 sativa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788,072,127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13,692,789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 domestica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8,472,831,162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386,497,444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 esculenta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188,402,359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11,770,716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 acuminata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902,299,218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51,608,365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 sativa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17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2,723,321,219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180,672,119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 vulgaris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336,325,359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27,785,356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 persica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132,852,900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7,715,551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 spontaneum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957,727,589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14,066,694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 italica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127,656,729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8,636,775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lycopersicum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678,622,437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26,897,442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tuberosum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1,385,439,236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37,647,242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 bicolor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417,804,834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16,534,260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 aestivum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60,270,225,085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218,375,879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 radiata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137,333,161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9,760,965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 vinifera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564,473,863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35,985,572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 mays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4,632,238,818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78,654,231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1"/>
      </w:pPr>
      <w:r>
        <w:t>附录B：当前证据文件角色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正式结果入口：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PUBLICATION_V2_FINAL_RESULTS_CN.md</w:t>
      </w:r>
      <w:r>
        <w:rPr>
          <w:rFonts w:ascii="Arial" w:hAnsi="Arial" w:eastAsia="Microsoft YaHei"/>
          <w:color w:val="20252B"/>
          <w:sz w:val="20"/>
        </w:rPr>
        <w:t>和两个run的</w:t>
      </w:r>
      <w:r>
        <w:rPr>
          <w:rFonts w:ascii="Consolas" w:hAnsi="Consolas" w:eastAsia="Microsoft YaHei"/>
          <w:color w:val="183153"/>
          <w:sz w:val="19"/>
        </w:rPr>
        <w:t>summary/full_data_metrics.tsv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B冻结依据：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early_stopping_state.json</w:t>
      </w:r>
      <w:r>
        <w:rPr>
          <w:rFonts w:ascii="Arial" w:hAnsi="Arial" w:eastAsia="Microsoft YaHei"/>
          <w:color w:val="20252B"/>
          <w:sz w:val="20"/>
        </w:rPr>
        <w:t>与</w:t>
      </w:r>
      <w:r>
        <w:rPr>
          <w:rFonts w:ascii="Consolas" w:hAnsi="Consolas" w:eastAsia="Microsoft YaHei"/>
          <w:color w:val="183153"/>
          <w:sz w:val="19"/>
        </w:rPr>
        <w:t>stage_B_8k_final_manifest.json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C1真实终态：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train_step14000_64k_corrected.log</w:t>
      </w:r>
      <w:r>
        <w:rPr>
          <w:rFonts w:ascii="Arial" w:hAnsi="Arial" w:eastAsia="Microsoft YaHei"/>
          <w:color w:val="20252B"/>
          <w:sz w:val="20"/>
        </w:rPr>
        <w:t>和</w:t>
      </w:r>
      <w:r>
        <w:rPr>
          <w:rFonts w:ascii="Consolas" w:hAnsi="Consolas" w:eastAsia="Microsoft YaHei"/>
          <w:color w:val="183153"/>
          <w:sz w:val="19"/>
        </w:rPr>
        <w:t>interrupted_step_00000569.pt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本报告不修改已被publication-v2 final manifest锁定的README和协议文件。</w:t>
      </w:r>
      <w:r>
        <w:rPr>
          <w:rFonts w:ascii="Arial" w:hAnsi="Arial" w:eastAsia="Microsoft YaHei"/>
          <w:color w:val="20252B"/>
          <w:sz w:val="20"/>
        </w:rPr>
        <w:t xml:space="preserve"> 若未来更新入口文档，必须重新生成manifest并明确新release。</w:t>
      </w:r>
    </w:p>
    <w:p>
      <w:pPr>
        <w:pStyle w:val="Heading1"/>
      </w:pPr>
      <w:r>
        <w:t>附录C：指标怎么读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AUPRC=1最好；恒定分数的Average Precision应等于正例比例。核心任务正负1:1，因此标准值应为0.5。旧formal evaluator对并列分数处理不正确，导致</w:t>
      </w:r>
      <w:r>
        <w:rPr>
          <w:rFonts w:ascii="Consolas" w:hAnsi="Consolas" w:eastAsia="Microsoft YaHei"/>
          <w:color w:val="183153"/>
          <w:sz w:val="19"/>
        </w:rPr>
        <w:t>majority_baseline=0.30734</w:t>
      </w:r>
      <w:r>
        <w:rPr>
          <w:rFonts w:ascii="Arial" w:hAnsi="Arial" w:eastAsia="Microsoft YaHei"/>
          <w:color w:val="20252B"/>
          <w:sz w:val="20"/>
        </w:rPr>
        <w:t>；主学习模型排名不变，但下一release必须用tie-safe实现重算，详见11.2节。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Pearson=1表示完全正线性，0表示无线性关系，负值表示反向。基因表达序列预测通常受组织、环境和转调控影响，0.5左右已经代表显著但不完整的cis sequence signal。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宏平均先对每个任务/输出维度独立计分再等权平均，避免样本多的任务完全支配结果；它也可能隐藏某个关键任务失败，所以本报告同时列出每项任务。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N/E不是失败分数，而是该模型在冻结的zero-truncation协议下不具备完整输入能力或未被纳入。</w:t>
      </w:r>
    </w:p>
    <w:sectPr w:rsidR="00FC693F" w:rsidRPr="0006063C" w:rsidSect="00034616">
      <w:type w:val="continuous"/>
      <w:pgSz w:w="11906" w:h="16838"/>
      <w:pgMar w:top="992" w:right="1020" w:bottom="935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Microsoft YaHei"/>
        <w:color w:val="667085"/>
        <w:sz w:val="16"/>
      </w:rPr>
      <w:t xml:space="preserve">机器证据截止：2026-07-21  ·  文档更新：2026-07-27  ·  第 </w:t>
    </w:r>
    <w:r>
      <w:fldChar w:fldCharType="begin"/>
      <w:instrText xml:space="preserve"> PAGE </w:instrText>
      <w:fldChar w:fldCharType="end"/>
    </w:r>
    <w:r>
      <w:rPr>
        <w:rFonts w:ascii="Arial" w:hAnsi="Arial" w:eastAsia="Microsoft YaHei"/>
        <w:color w:val="66708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5" w:space="2" w:color="D9E1EA"/>
      </w:pBdr>
      <w:spacing w:after="0"/>
      <w:jc w:val="right"/>
    </w:pPr>
    <w:r>
      <w:rPr>
        <w:rFonts w:ascii="Arial" w:hAnsi="Arial" w:eastAsia="Microsoft YaHei"/>
        <w:color w:val="667085"/>
        <w:sz w:val="16"/>
      </w:rPr>
      <w:t>CropGenome-FM · 详细研究设计与评估报告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80"/>
    </w:pPr>
    <w:rPr>
      <w:rFonts w:ascii="Arial" w:hAnsi="Arial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6BF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18315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83153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 w:eastAsia="Microsoft YaHei"/>
      <w:b/>
      <w:i/>
      <w:iCs/>
      <w:color w:val="667085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/>
      <w:bCs/>
      <w:i w:val="0"/>
      <w:color w:val="66708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20"/>
      <w:ind w:left="198" w:right="142"/>
    </w:pPr>
    <w:rPr>
      <w:rFonts w:ascii="Arial" w:hAnsi="Arial" w:eastAsia="Microsoft YaHei"/>
      <w:color w:val="18315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CropGenome-FM作物基因组基础模型：详细研究设计与评估报告</dc:title>
  <dc:subject>模型架构、预训练数据、正式下游结果、基线比较与下一阶段预注册设计</dc:subject>
  <dc:creator>CropGenome-FM Project</dc:creator>
  <cp:keywords>crop genome foundation model, long context, plant genomics, benchmark</cp:keywords>
  <dc:description>Version 2.0; generated from research_guide/README_CN.md and verified source-data; no new formal test was run for this documentation update.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