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太空服务器（A100）技术说明书（整理稿）</w:t>
      </w:r>
    </w:p>
    <w:p>
      <w:r>
        <w:t xml:space="preserve">一、产品概述</w:t>
      </w:r>
    </w:p>
    <w:p>
      <w:r>
        <w:t xml:space="preserve">太空服务器（A100）是一型面向在轨算力服务、边缘智能和云原生卫星应用的高可靠空间算力平台。现有资料表明，该产品采用双机结构，具备较强计算、存储、网络和应用承载能力。</w:t>
      </w:r>
    </w:p>
    <w:p/>
    <w:p>
      <w:r>
        <w:t xml:space="preserve">二、硬件规格</w:t>
      </w:r>
    </w:p>
    <w:p>
      <w:r>
        <w:t xml:space="preserve">1. CPU：飞腾D2000，8核，2.3GHz</w:t>
      </w:r>
    </w:p>
    <w:p>
      <w:r>
        <w:t xml:space="preserve">2. 内存：DDR4 16GB及以上</w:t>
      </w:r>
    </w:p>
    <w:p>
      <w:r>
        <w:t xml:space="preserve">3. GPU：天数智芯天垓100/智铠100</w:t>
      </w:r>
    </w:p>
    <w:p>
      <w:r>
        <w:t xml:space="preserve">4. 单GPU功耗：75W可配置</w:t>
      </w:r>
    </w:p>
    <w:p>
      <w:r>
        <w:t xml:space="preserve">5. 单GPU算力：49TFLOPS@INT8、256TFLOPS@INT8（按资料原文并列）</w:t>
      </w:r>
    </w:p>
    <w:p>
      <w:r>
        <w:t xml:space="preserve">6. 硬盘：大于512GB</w:t>
      </w:r>
    </w:p>
    <w:p>
      <w:r>
        <w:t xml:space="preserve">7. GPU接口：PCIe Gen5.0 x16 lane</w:t>
      </w:r>
    </w:p>
    <w:p/>
    <w:p>
      <w:r>
        <w:t xml:space="preserve">三、总体架构</w:t>
      </w:r>
    </w:p>
    <w:p>
      <w:r>
        <w:t xml:space="preserve">1. 内部双机结构：左B右A，两机接口左右对称</w:t>
      </w:r>
    </w:p>
    <w:p>
      <w:r>
        <w:t xml:space="preserve">2. 面向星间链路、地面站协同与星上服务部署</w:t>
      </w:r>
    </w:p>
    <w:p>
      <w:r>
        <w:t xml:space="preserve">3. 具备基础服务、上星服务、PaaS/SaaS应用支撑能力</w:t>
      </w:r>
    </w:p>
    <w:p/>
    <w:p>
      <w:r>
        <w:t xml:space="preserve">四、接口与供电</w:t>
      </w:r>
    </w:p>
    <w:p>
      <w:r>
        <w:t xml:space="preserve">1. 从里至外依次为：电源、串口、2个网口</w:t>
      </w:r>
    </w:p>
    <w:p>
      <w:r>
        <w:t xml:space="preserve">2. 供电要求：30V，5A</w:t>
      </w:r>
    </w:p>
    <w:p>
      <w:r>
        <w:t xml:space="preserve">3. 结合IDS表与上位机接口设计，可进一步归纳机械、电气与通信边界接口</w:t>
      </w:r>
    </w:p>
    <w:p>
      <w:r>
        <w:t xml:space="preserve">4. ser2net等配置资料表明其支持串口网络化调试/联调</w:t>
      </w:r>
    </w:p>
    <w:p/>
    <w:p>
      <w:r>
        <w:t xml:space="preserve">五、软件与部署</w:t>
      </w:r>
    </w:p>
    <w:p>
      <w:r>
        <w:t xml:space="preserve">1. 支持SSH直连、容器部署和云环境运行</w:t>
      </w:r>
    </w:p>
    <w:p>
      <w:r>
        <w:t xml:space="preserve">2. 操作环境包括Ubuntu、Docker及配套镜像</w:t>
      </w:r>
    </w:p>
    <w:p>
      <w:r>
        <w:t xml:space="preserve">3. 具备PaaS和SaaS服务承载能力</w:t>
      </w:r>
    </w:p>
    <w:p>
      <w:r>
        <w:t xml:space="preserve">4. 可提供LLM、VLA、通信、星务计算等应用服务</w:t>
      </w:r>
    </w:p>
    <w:p/>
    <w:p>
      <w:r>
        <w:t xml:space="preserve">六、系统集成与组网</w:t>
      </w:r>
    </w:p>
    <w:p>
      <w:r>
        <w:t xml:space="preserve">1. 面向云原生卫星整体架构</w:t>
      </w:r>
    </w:p>
    <w:p>
      <w:r>
        <w:t xml:space="preserve">2. 支持星间组网、星内部署和地面协同</w:t>
      </w:r>
    </w:p>
    <w:p>
      <w:r>
        <w:t xml:space="preserve">3. 与上位机之间存在明确接口设计与联调关系</w:t>
      </w:r>
    </w:p>
    <w:p/>
    <w:p>
      <w:r>
        <w:t xml:space="preserve">七、典型应用场景</w:t>
      </w:r>
    </w:p>
    <w:p>
      <w:r>
        <w:t xml:space="preserve">1. 星上基础算力平台</w:t>
      </w:r>
    </w:p>
    <w:p>
      <w:r>
        <w:t xml:space="preserve">2. 在轨AI与业务服务承载平台</w:t>
      </w:r>
    </w:p>
    <w:p>
      <w:r>
        <w:t xml:space="preserve">3. 星载云原生应用运行环境</w:t>
      </w:r>
    </w:p>
    <w:p>
      <w:r>
        <w:t xml:space="preserve">4. 边缘智能任务处理平台</w:t>
      </w:r>
    </w:p>
    <w:p/>
    <w:p>
      <w:r>
        <w:t xml:space="preserve">八、结论</w:t>
      </w:r>
    </w:p>
    <w:p>
      <w:r>
        <w:t xml:space="preserve">太空服务器（A100）是一型具备双机结构、通用算力与服务承载能力的空间算力平台，兼具硬件平台属性与星上服务平台属性，适用于云原生卫星、边缘智能和在轨应用部署场景。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太空服务器（A100）技术说明书（整理稿）</dc:title>
  <dc:creator>OpenClaw</dc:creator>
</cp:coreProperties>
</file>