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6.0 -->
  <w:body>
    <w:p w:rsidR="00A77B3E">
      <w:pPr>
        <w:pStyle w:val="Title"/>
        <w:numPr>
          <w:ilvl w:val="0"/>
          <w:numId w:val="0"/>
        </w:numPr>
        <w:ind w:left="0" w:right="0" w:firstLineChars="0"/>
        <w:jc w:val="center"/>
        <w:outlineLvl w:val="9"/>
        <w:rPr>
          <w:rFonts w:ascii="Times New Roman" w:eastAsia="黑体"/>
          <w:b w:val="0"/>
          <w:sz w:val="32"/>
        </w:rPr>
      </w:pPr>
      <w:r>
        <w:rPr>
          <w:rFonts w:ascii="Times New Roman" w:eastAsia="黑体"/>
          <w:b w:val="0"/>
          <w:sz w:val="32"/>
        </w:rPr>
        <w:t>目  录</w:t>
      </w:r>
    </w:p>
    <w:p>
      <w:pPr>
        <w:pStyle w:val="TOC1"/>
        <w:tabs>
          <w:tab w:val="right" w:leader="dot" w:pos="9016"/>
        </w:tabs>
        <w:ind w:left="0" w:right="0" w:firstLine="0" w:firstLineChars="0"/>
        <w:jc w:val="left"/>
        <w:rPr>
          <w:rFonts w:ascii="Calibri" w:hAnsi="Calibri"/>
          <w:noProof/>
          <w:sz w:val="22"/>
        </w:rPr>
      </w:pPr>
      <w:r>
        <w:fldChar w:fldCharType="begin" w:dirty="1"/>
      </w:r>
      <w:r>
        <w:rPr>
          <w:rFonts w:ascii="Times New Roman" w:eastAsia="宋体"/>
          <w:b w:val="0"/>
          <w:i w:val="0"/>
          <w:sz w:val="21"/>
          <w:u w:val="none"/>
        </w:rPr>
        <w:instrText>TOC \o "1-2" \h \z \u</w:instrText>
      </w:r>
      <w:r>
        <w:fldChar w:fldCharType="separate"/>
      </w:r>
      <w:hyperlink w:anchor="_Toc256000000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1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项目概述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_Toc256000000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2"/>
        <w:tabs>
          <w:tab w:val="right" w:leader="dot" w:pos="9016"/>
        </w:tabs>
        <w:ind w:left="48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1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1.1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项目背景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_Toc256000001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1"/>
        <w:tabs>
          <w:tab w:val="right" w:leader="dot" w:pos="9016"/>
        </w:tabs>
        <w:ind w:left="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2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功能验证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_Toc256000002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2"/>
        <w:tabs>
          <w:tab w:val="right" w:leader="dot" w:pos="9016"/>
        </w:tabs>
        <w:ind w:left="48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3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2.1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验证结果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_Toc256000003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2"/>
        <w:tabs>
          <w:tab w:val="right" w:leader="dot" w:pos="9016"/>
        </w:tabs>
        <w:ind w:left="48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4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2.2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风险与建议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_Toc256000004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1"/>
        <w:tabs>
          <w:tab w:val="right" w:leader="dot" w:pos="9016"/>
        </w:tabs>
        <w:ind w:left="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5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3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评估结论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_Toc256000005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2</w:t>
        </w:r>
        <w:r>
          <w:fldChar w:fldCharType="end"/>
        </w:r>
      </w:hyperlink>
    </w:p>
    <w:p>
      <w:pPr>
        <w:numPr>
          <w:ilvl w:val="0"/>
          <w:numId w:val="0"/>
        </w:numPr>
        <w:outlineLvl w:val="9"/>
      </w:pPr>
      <w:r>
        <w:fldChar w:fldCharType="end"/>
      </w:r>
    </w:p>
    <w:p>
      <w:pPr>
        <w:sectPr>
          <w:footerReference w:type="default" r:id="rId4"/>
          <w:pgSz w:w="11906" w:h="16838"/>
          <w:pgMar w:top="1440" w:right="1440" w:bottom="1440" w:left="1440" w:header="708" w:footer="708" w:gutter="0"/>
          <w:pgNumType w:fmt="upperRoman" w:start="1"/>
          <w:cols w:space="708"/>
          <w:docGrid w:linePitch="360"/>
        </w:sectPr>
      </w:pPr>
    </w:p>
    <w:p>
      <w:pPr>
        <w:pStyle w:val="Heading1"/>
        <w:keepNext/>
        <w:keepLines w:val="0"/>
        <w:numPr>
          <w:ilvl w:val="0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32"/>
          <w:u w:val="none"/>
        </w:rPr>
      </w:pPr>
      <w:bookmarkStart w:id="0" w:name="_Toc256000000"/>
      <w:r>
        <w:rPr>
          <w:rFonts w:ascii="Times New Roman" w:eastAsia="黑体"/>
          <w:b/>
          <w:i w:val="0"/>
          <w:sz w:val="32"/>
          <w:u w:val="none"/>
        </w:rPr>
        <w:t>项目概述</w:t>
      </w:r>
      <w:bookmarkEnd w:id="0"/>
    </w:p>
    <w:p>
      <w:pPr>
        <w:pStyle w:val="Heading2"/>
        <w:keepNext/>
        <w:keepLines w:val="0"/>
        <w:numPr>
          <w:ilvl w:val="1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28"/>
          <w:u w:val="none"/>
        </w:rPr>
      </w:pPr>
      <w:bookmarkStart w:id="1" w:name="_Toc256000001"/>
      <w:r>
        <w:rPr>
          <w:rFonts w:ascii="Times New Roman" w:eastAsia="黑体"/>
          <w:b/>
          <w:i w:val="0"/>
          <w:sz w:val="28"/>
          <w:u w:val="none"/>
        </w:rPr>
        <w:t>项目背景</w:t>
      </w:r>
      <w:bookmarkEnd w:id="1"/>
    </w:p>
    <w:p>
      <w:pPr>
        <w:pStyle w:val="BodyText"/>
        <w:keepNext w:val="0"/>
        <w:keepLines w:val="0"/>
        <w:spacing w:before="0" w:after="0" w:line="360" w:lineRule="auto"/>
        <w:ind w:left="0" w:right="0" w:firstLine="420" w:firstLineChars="200"/>
        <w:jc w:val="both"/>
        <w:rPr>
          <w:rFonts w:ascii="Times New Roman" w:eastAsia="宋体"/>
          <w:b w:val="0"/>
          <w:i w:val="0"/>
          <w:sz w:val="21"/>
          <w:u w:val="none"/>
        </w:rPr>
      </w:pPr>
      <w:r>
        <w:rPr>
          <w:rFonts w:ascii="Times New Roman" w:eastAsia="宋体"/>
          <w:b w:val="0"/>
          <w:i w:val="0"/>
          <w:sz w:val="21"/>
          <w:u w:val="none"/>
        </w:rPr>
        <w:t>智能体训练软件 1.0 于上线后出现任务归档接口响应时间 p95 从 180 毫秒升至 3.2 秒、超时率从 0.2% 升至 8.1% 的异常现象。经分析，该问题主要源于单事务归档任务数从 100 增至 1000，导致数据库事务持续时间 p95 从 120 毫秒显著延长至 2.6 秒，进而引发连接池等待时间 p95 从 20 毫秒飙升至 1.4 秒。</w:t>
      </w:r>
    </w:p>
    <w:p>
      <w:pPr>
        <w:pStyle w:val="Heading1"/>
        <w:keepNext/>
        <w:keepLines w:val="0"/>
        <w:numPr>
          <w:ilvl w:val="0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32"/>
          <w:u w:val="none"/>
        </w:rPr>
      </w:pPr>
      <w:bookmarkStart w:id="2" w:name="_Toc256000002"/>
      <w:r>
        <w:rPr>
          <w:rFonts w:ascii="Times New Roman" w:eastAsia="黑体"/>
          <w:b/>
          <w:i w:val="0"/>
          <w:sz w:val="32"/>
          <w:u w:val="none"/>
        </w:rPr>
        <w:t>功能验证</w:t>
      </w:r>
      <w:bookmarkEnd w:id="2"/>
    </w:p>
    <w:p>
      <w:pPr>
        <w:pStyle w:val="Heading2"/>
        <w:keepNext/>
        <w:keepLines w:val="0"/>
        <w:numPr>
          <w:ilvl w:val="1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28"/>
          <w:u w:val="none"/>
        </w:rPr>
      </w:pPr>
      <w:bookmarkStart w:id="3" w:name="_Toc256000003"/>
      <w:r>
        <w:rPr>
          <w:rFonts w:ascii="Times New Roman" w:eastAsia="黑体"/>
          <w:b/>
          <w:i w:val="0"/>
          <w:sz w:val="28"/>
          <w:u w:val="none"/>
        </w:rPr>
        <w:t>验证结果</w:t>
      </w:r>
      <w:bookmarkEnd w:id="3"/>
    </w:p>
    <w:tbl>
      <w:tblPr>
        <w:tblW w:w="9026" w:type="dxa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9"/>
        <w:gridCol w:w="3009"/>
      </w:tblGrid>
      <w:tr>
        <w:tblPrEx>
          <w:tblW w:w="9026" w:type="dxa"/>
          <w:tblLayout w:type="fixed"/>
        </w:tblPrEx>
        <w:trPr>
          <w:cantSplit/>
          <w:tblHeader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  <w:t>检查项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  <w:t>结果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  <w:t>依据</w:t>
            </w:r>
          </w:p>
        </w:tc>
      </w:tr>
      <w:tr>
        <w:tblPrEx>
          <w:tblW w:w="9026" w:type="dxa"/>
          <w:tblLayout w:type="fixed"/>
        </w:tblPrEx>
        <w:trPr>
          <w:cantSplit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事务处理数量增加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响应时间 p95 从 180ms 升至 3.2s，超时率从 0.2% 升至 8.1%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单事务归档任务数从 100 增至 1000</w:t>
            </w:r>
          </w:p>
        </w:tc>
      </w:tr>
      <w:tr>
        <w:tblPrEx>
          <w:tblW w:w="9026" w:type="dxa"/>
          <w:tblLayout w:type="fixed"/>
        </w:tblPrEx>
        <w:trPr>
          <w:cantSplit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数据库事务持续时间增加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连接池等待时间 p95 从 20ms 升至 1.4s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单个事务处理更多记录，连接被占用更久</w:t>
            </w:r>
          </w:p>
        </w:tc>
      </w:tr>
      <w:tr>
        <w:tblPrEx>
          <w:tblW w:w="9026" w:type="dxa"/>
          <w:tblLayout w:type="fixed"/>
        </w:tblPrEx>
        <w:trPr>
          <w:cantSplit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获取数据库连接等待时间增加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归档接口响应变慢并出现超时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将批量大小恢复为 100 后，连接池等待时间 p95 降至 25ms，超时率降至 0.3%</w:t>
            </w:r>
          </w:p>
        </w:tc>
      </w:tr>
    </w:tbl>
    <w:p/>
    <w:p>
      <w:pPr>
        <w:pStyle w:val="Heading2"/>
        <w:keepNext/>
        <w:keepLines w:val="0"/>
        <w:numPr>
          <w:ilvl w:val="1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28"/>
          <w:u w:val="none"/>
        </w:rPr>
      </w:pPr>
      <w:bookmarkStart w:id="4" w:name="_Toc256000004"/>
      <w:r>
        <w:rPr>
          <w:rFonts w:ascii="Times New Roman" w:eastAsia="黑体"/>
          <w:b/>
          <w:i w:val="0"/>
          <w:sz w:val="28"/>
          <w:u w:val="none"/>
        </w:rPr>
        <w:t>风险与建议</w:t>
      </w:r>
      <w:bookmarkEnd w:id="4"/>
    </w:p>
    <w:p>
      <w:pPr>
        <w:pStyle w:val="BodyText"/>
        <w:keepNext w:val="0"/>
        <w:keepLines w:val="0"/>
        <w:spacing w:before="0" w:after="0" w:line="360" w:lineRule="auto"/>
        <w:ind w:left="0" w:right="0" w:firstLine="420" w:firstLineChars="200"/>
        <w:jc w:val="both"/>
        <w:rPr>
          <w:rFonts w:ascii="Times New Roman" w:eastAsia="宋体"/>
          <w:b w:val="0"/>
          <w:i w:val="0"/>
          <w:sz w:val="21"/>
          <w:u w:val="none"/>
        </w:rPr>
      </w:pPr>
      <w:r>
        <w:rPr>
          <w:rFonts w:ascii="Times New Roman" w:eastAsia="宋体"/>
          <w:b w:val="0"/>
          <w:i w:val="0"/>
          <w:sz w:val="21"/>
          <w:u w:val="none"/>
        </w:rPr>
        <w:t>智能体训练软件 1.0 的任务归档功能上线后出现显著性能问题，导致接口响应时间从 180 毫秒急剧上升至 3.2 秒，且超时率由 0.2% 飙升至 8.1%，表明存在明确的运行风险。经分析，核心风险源于单事务归档任务数从 100 增至 1000，导致单个数据库事务持续时间 p95 从 120 毫秒延长至 2.6 秒，进而引发连接池等待时间 p95 从 20 毫秒升至 1.4 秒。虽然恢复批量大小至 100 后响应速度可恢复正常，但当前参数组合仍不足以支撑高并发场景下的稳定性验证，建议暂时维持每事务 100 条的规模，并补充批量大小与并发量的组合测试以确认正式运行参数。</w:t>
      </w:r>
    </w:p>
    <w:p>
      <w:pPr>
        <w:pStyle w:val="Heading1"/>
        <w:keepNext/>
        <w:keepLines w:val="0"/>
        <w:numPr>
          <w:ilvl w:val="0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32"/>
          <w:u w:val="none"/>
        </w:rPr>
      </w:pPr>
      <w:bookmarkStart w:id="5" w:name="_Toc256000005"/>
      <w:r>
        <w:rPr>
          <w:rFonts w:ascii="Times New Roman" w:eastAsia="黑体"/>
          <w:b/>
          <w:i w:val="0"/>
          <w:sz w:val="32"/>
          <w:u w:val="none"/>
        </w:rPr>
        <w:t>评估结论</w:t>
      </w:r>
      <w:bookmarkEnd w:id="5"/>
    </w:p>
    <w:p>
      <w:pPr>
        <w:pStyle w:val="BodyText"/>
        <w:keepNext w:val="0"/>
        <w:keepLines w:val="0"/>
        <w:spacing w:before="0" w:after="0" w:line="360" w:lineRule="auto"/>
        <w:ind w:left="0" w:right="0" w:firstLine="420" w:firstLineChars="200"/>
        <w:jc w:val="both"/>
        <w:rPr>
          <w:rFonts w:ascii="Times New Roman" w:eastAsia="宋体"/>
          <w:b w:val="0"/>
          <w:i w:val="0"/>
          <w:sz w:val="21"/>
          <w:u w:val="none"/>
        </w:rPr>
      </w:pPr>
      <w:r>
        <w:rPr>
          <w:rFonts w:ascii="Times New Roman" w:eastAsia="宋体"/>
          <w:b w:val="0"/>
          <w:i w:val="0"/>
          <w:sz w:val="21"/>
          <w:u w:val="none"/>
        </w:rPr>
        <w:t>评估结论显示，智能体训练软件 1.0 的任务归档功能在上线后出现性能退化。核心问题源于单事务归档任务数从 100 增至 1000，导致数据库事务持续时间 p95 显著延长至 2.6 秒，进而引发连接池等待时间上升及接口响应超时。虽然恢复批量大小为 100 可缓解部分延迟，但需进一步验证不同并发量下的参数组合是否稳定，建议暂时维持当前配置并补充测试以确认正式参数。</w:t>
      </w:r>
    </w:p>
    <w:p/>
    <w:sectPr>
      <w:footerReference w:type="default" r:id="rId5"/>
      <w:type w:val="nextPage"/>
      <w:pgSz w:w="11906" w:h="16838"/>
      <w:pgMar w:top="1440" w:right="1440" w:bottom="1440" w:left="1440" w:header="708" w:footer="708" w:gutter="0"/>
      <w:pgNumType w:fmt="decimal"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t xml:space="preserve">第 </w:t>
    </w:r>
    <w:r>
      <w:fldChar w:fldCharType="begin" w:dirty="1"/>
    </w:r>
    <w:r>
      <w:instrText>PAGE</w:instrText>
    </w:r>
    <w:r>
      <w:fldChar w:fldCharType="separate"/>
    </w:r>
    <w:r>
      <w:t>I</w:t>
    </w:r>
    <w:r>
      <w:fldChar w:fldCharType="end"/>
    </w:r>
    <w:r>
      <w:t xml:space="preserve"> 页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t xml:space="preserve">第 </w:t>
    </w:r>
    <w:r>
      <w:fldChar w:fldCharType="begin" w:dirty="1"/>
    </w:r>
    <w:r>
      <w:instrText>PAGE</w:instrText>
    </w:r>
    <w:r>
      <w:fldChar w:fldCharType="separate"/>
    </w:r>
    <w:r>
      <w:t>2</w:t>
    </w:r>
    <w:r>
      <w:fldChar w:fldCharType="end"/>
    </w:r>
    <w:r>
      <w:t xml:space="preserve"> 页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pStyle w:val="Heading1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i w:val="0"/>
      <w:kern w:val="32"/>
      <w:sz w:val="32"/>
      <w:szCs w:val="32"/>
      <w:u w:val="none"/>
    </w:rPr>
  </w:style>
  <w:style w:type="paragraph" w:styleId="Heading2">
    <w:name w:val="heading 2"/>
    <w:basedOn w:val="Normal"/>
    <w:next w:val="Normal"/>
    <w:qFormat/>
    <w:rsid w:val="00EF7B96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 w:val="0"/>
      <w:iCs/>
      <w:sz w:val="28"/>
      <w:szCs w:val="28"/>
      <w:u w:val="none"/>
    </w:rPr>
  </w:style>
  <w:style w:type="paragraph" w:styleId="Heading3">
    <w:name w:val="heading 3"/>
    <w:basedOn w:val="Normal"/>
    <w:next w:val="Normal"/>
    <w:qFormat/>
    <w:rsid w:val="00EF7B96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i w:val="0"/>
      <w:sz w:val="26"/>
      <w:szCs w:val="26"/>
      <w:u w:val="none"/>
    </w:rPr>
  </w:style>
  <w:style w:type="paragraph" w:styleId="Heading4">
    <w:name w:val="heading 4"/>
    <w:basedOn w:val="Normal"/>
    <w:next w:val="Normal"/>
    <w:qFormat/>
    <w:rsid w:val="00EF7B96"/>
    <w:pPr>
      <w:keepNext/>
      <w:numPr>
        <w:ilvl w:val="3"/>
        <w:numId w:val="1"/>
      </w:numPr>
      <w:spacing w:before="240" w:after="60"/>
      <w:outlineLvl w:val="3"/>
    </w:pPr>
    <w:rPr>
      <w:b/>
      <w:bCs/>
      <w:i w:val="0"/>
      <w:sz w:val="28"/>
      <w:szCs w:val="28"/>
      <w:u w:val="none"/>
    </w:rPr>
  </w:style>
  <w:style w:type="paragraph" w:styleId="Heading5">
    <w:name w:val="heading 5"/>
    <w:basedOn w:val="Normal"/>
    <w:next w:val="Normal"/>
    <w:qFormat/>
    <w:rsid w:val="00EF7B96"/>
    <w:pPr>
      <w:numPr>
        <w:ilvl w:val="4"/>
        <w:numId w:val="1"/>
      </w:numPr>
      <w:spacing w:before="240" w:after="60"/>
      <w:outlineLvl w:val="4"/>
    </w:pPr>
    <w:rPr>
      <w:b/>
      <w:bCs/>
      <w:i w:val="0"/>
      <w:iCs/>
      <w:sz w:val="26"/>
      <w:szCs w:val="26"/>
      <w:u w:val="none"/>
    </w:rPr>
  </w:style>
  <w:style w:type="paragraph" w:styleId="Heading6">
    <w:name w:val="heading 6"/>
    <w:basedOn w:val="Normal"/>
    <w:next w:val="Normal"/>
    <w:qFormat/>
    <w:rsid w:val="00EF7B96"/>
    <w:pPr>
      <w:numPr>
        <w:ilvl w:val="5"/>
        <w:numId w:val="1"/>
      </w:numPr>
      <w:spacing w:before="240" w:after="60"/>
      <w:outlineLvl w:val="5"/>
    </w:pPr>
    <w:rPr>
      <w:b/>
      <w:bCs/>
      <w:i w:val="0"/>
      <w:sz w:val="22"/>
      <w:szCs w:val="22"/>
      <w:u w:val="none"/>
    </w:rPr>
  </w:style>
  <w:style w:type="paragraph" w:styleId="Heading7">
    <w:name w:val="heading 7"/>
    <w:basedOn w:val="Normal"/>
    <w:next w:val="Normal"/>
    <w:qFormat/>
    <w:rsid w:val="00EF7B96"/>
    <w:pPr>
      <w:numPr>
        <w:ilvl w:val="6"/>
        <w:numId w:val="1"/>
      </w:numPr>
      <w:spacing w:before="240" w:after="60"/>
      <w:outlineLvl w:val="6"/>
    </w:pPr>
    <w:rPr>
      <w:i w:val="0"/>
      <w:u w:val="none"/>
    </w:rPr>
  </w:style>
  <w:style w:type="paragraph" w:styleId="Heading8">
    <w:name w:val="heading 8"/>
    <w:basedOn w:val="Normal"/>
    <w:next w:val="Normal"/>
    <w:qFormat/>
    <w:rsid w:val="00EF7B96"/>
    <w:pPr>
      <w:numPr>
        <w:ilvl w:val="7"/>
        <w:numId w:val="1"/>
      </w:numPr>
      <w:spacing w:before="240" w:after="60"/>
      <w:outlineLvl w:val="7"/>
    </w:pPr>
    <w:rPr>
      <w:i w:val="0"/>
      <w:iCs/>
      <w:u w:val="none"/>
    </w:rPr>
  </w:style>
  <w:style w:type="paragraph" w:styleId="Heading9">
    <w:name w:val="heading 9"/>
    <w:basedOn w:val="Normal"/>
    <w:next w:val="Normal"/>
    <w:qFormat/>
    <w:rsid w:val="00EF7B96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 w:val="0"/>
      <w:sz w:val="22"/>
      <w:szCs w:val="22"/>
      <w:u w:val="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hAnsi="Arial" w:cs="Arial"/>
      <w:b/>
      <w:bCs/>
      <w:i w:val="0"/>
      <w:kern w:val="28"/>
      <w:sz w:val="32"/>
      <w:szCs w:val="32"/>
      <w:u w:val="none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hAnsi="Arial" w:cs="Arial"/>
      <w:i w:val="0"/>
      <w:u w:val="none"/>
    </w:rPr>
  </w:style>
  <w:style w:type="paragraph" w:styleId="TOC1">
    <w:name w:val="toc 1"/>
    <w:basedOn w:val="Normal"/>
    <w:next w:val="Normal"/>
    <w:autoRedefine/>
    <w:rsid w:val="00805BCE"/>
    <w:pPr>
      <w:ind w:left="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2">
    <w:name w:val="toc 2"/>
    <w:basedOn w:val="Normal"/>
    <w:next w:val="Normal"/>
    <w:autoRedefine/>
    <w:rsid w:val="00805BCE"/>
    <w:pPr>
      <w:ind w:left="48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3">
    <w:name w:val="toc 3"/>
    <w:basedOn w:val="Normal"/>
    <w:next w:val="Normal"/>
    <w:autoRedefine/>
    <w:rsid w:val="00805BCE"/>
    <w:pPr>
      <w:ind w:left="96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4">
    <w:name w:val="toc 4"/>
    <w:basedOn w:val="Normal"/>
    <w:next w:val="Normal"/>
    <w:autoRedefine/>
    <w:rsid w:val="00805BCE"/>
    <w:pPr>
      <w:ind w:left="144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5">
    <w:name w:val="toc 5"/>
    <w:basedOn w:val="Normal"/>
    <w:next w:val="Normal"/>
    <w:autoRedefine/>
    <w:rsid w:val="00805BCE"/>
    <w:pPr>
      <w:ind w:left="192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6">
    <w:name w:val="toc 6"/>
    <w:basedOn w:val="Normal"/>
    <w:next w:val="Normal"/>
    <w:autoRedefine/>
    <w:rsid w:val="00805BCE"/>
    <w:pPr>
      <w:ind w:left="240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7">
    <w:name w:val="toc 7"/>
    <w:basedOn w:val="Normal"/>
    <w:next w:val="Normal"/>
    <w:autoRedefine/>
    <w:rsid w:val="00805BCE"/>
    <w:pPr>
      <w:ind w:left="288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8">
    <w:name w:val="toc 8"/>
    <w:basedOn w:val="Normal"/>
    <w:next w:val="Normal"/>
    <w:autoRedefine/>
    <w:rsid w:val="00805BCE"/>
    <w:pPr>
      <w:ind w:left="336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9">
    <w:name w:val="toc 9"/>
    <w:basedOn w:val="Normal"/>
    <w:next w:val="Normal"/>
    <w:autoRedefine/>
    <w:rsid w:val="00805BCE"/>
    <w:pPr>
      <w:ind w:left="384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BodyText">
    <w:name w:val="Body Text"/>
    <w:basedOn w:val="Normal"/>
    <w:rsid w:val="00805BCE"/>
    <w:pPr>
      <w:spacing w:after="120"/>
    </w:p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共享业务文本评估报告</dc:title>
  <cp:revision>1</cp:revision>
</cp:coreProperties>
</file>