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/>
          <w:sz w:val="56"/>
        </w:rPr>
        <w:t>大学生智能成长平台</w:t>
      </w:r>
    </w:p>
    <w:p>
      <w:pPr>
        <w:spacing w:before="0" w:after="800" w:line="360" w:lineRule="auto"/>
        <w:jc w:val="center"/>
      </w:pPr>
      <w:r>
        <w:rPr>
          <w:rFonts w:ascii="微软雅黑" w:hAnsi="微软雅黑" w:eastAsia="微软雅黑"/>
          <w:b w:val="0"/>
          <w:sz w:val="36"/>
        </w:rPr>
        <w:t>项目计划书</w:t>
      </w:r>
    </w:p>
    <w:p>
      <w:pPr>
        <w:spacing w:before="0" w:after="160" w:line="480" w:lineRule="auto"/>
        <w:jc w:val="center"/>
      </w:pPr>
      <w:r>
        <w:rPr>
          <w:rFonts w:ascii="微软雅黑" w:hAnsi="微软雅黑" w:eastAsia="微软雅黑"/>
          <w:b w:val="0"/>
          <w:sz w:val="24"/>
        </w:rPr>
        <w:t>项目名称：大学生智能成长平台</w:t>
      </w:r>
    </w:p>
    <w:p>
      <w:pPr>
        <w:spacing w:before="0" w:after="160" w:line="480" w:lineRule="auto"/>
        <w:jc w:val="center"/>
      </w:pPr>
      <w:r>
        <w:rPr>
          <w:rFonts w:ascii="微软雅黑" w:hAnsi="微软雅黑" w:eastAsia="微软雅黑"/>
          <w:b w:val="0"/>
          <w:sz w:val="24"/>
        </w:rPr>
        <w:t>项目类型：Python 程序设计课程设计</w:t>
      </w:r>
    </w:p>
    <w:p>
      <w:pPr>
        <w:spacing w:before="0" w:after="160" w:line="480" w:lineRule="auto"/>
        <w:jc w:val="center"/>
      </w:pPr>
      <w:r>
        <w:rPr>
          <w:rFonts w:ascii="微软雅黑" w:hAnsi="微软雅黑" w:eastAsia="微软雅黑"/>
          <w:b w:val="0"/>
          <w:sz w:val="24"/>
        </w:rPr>
        <w:t>项目周期：8 周</w:t>
      </w:r>
    </w:p>
    <w:p>
      <w:pPr>
        <w:spacing w:before="0" w:after="160" w:line="480" w:lineRule="auto"/>
        <w:jc w:val="center"/>
      </w:pPr>
      <w:r>
        <w:rPr>
          <w:rFonts w:ascii="微软雅黑" w:hAnsi="微软雅黑" w:eastAsia="微软雅黑"/>
          <w:b w:val="0"/>
          <w:sz w:val="24"/>
        </w:rPr>
        <w:t>文档版本：v1.0</w:t>
      </w:r>
    </w:p>
    <w:p>
      <w:pPr>
        <w:spacing w:before="0" w:after="160" w:line="480" w:lineRule="auto"/>
        <w:jc w:val="center"/>
      </w:pPr>
      <w:r>
        <w:rPr>
          <w:rFonts w:ascii="微软雅黑" w:hAnsi="微软雅黑" w:eastAsia="微软雅黑"/>
          <w:b w:val="0"/>
          <w:sz w:val="24"/>
        </w:rPr>
        <w:t>编制日期：2026 年 8 月 11 日</w:t>
      </w:r>
    </w:p>
    <w:p>
      <w:r>
        <w:br w:type="page"/>
      </w:r>
    </w:p>
    <w:p>
      <w:pPr>
        <w:spacing w:before="0" w:after="400" w:line="360" w:lineRule="auto"/>
        <w:jc w:val="center"/>
      </w:pPr>
      <w:r>
        <w:rPr>
          <w:rFonts w:ascii="微软雅黑" w:hAnsi="微软雅黑" w:eastAsia="微软雅黑"/>
          <w:b/>
          <w:sz w:val="36"/>
        </w:rPr>
        <w:t>目  录</w:t>
      </w:r>
    </w:p>
    <w:p>
      <w:pPr>
        <w:spacing w:before="0" w:after="160" w:line="432" w:lineRule="auto"/>
        <w:ind w:left="850"/>
        <w:jc w:val="left"/>
      </w:pPr>
      <w:r>
        <w:rPr>
          <w:rFonts w:ascii="微软雅黑" w:hAnsi="微软雅黑" w:eastAsia="微软雅黑"/>
          <w:b w:val="0"/>
          <w:sz w:val="22"/>
        </w:rPr>
        <w:t>一、项目概述</w:t>
      </w:r>
    </w:p>
    <w:p>
      <w:pPr>
        <w:spacing w:before="0" w:after="160" w:line="432" w:lineRule="auto"/>
        <w:ind w:left="850"/>
        <w:jc w:val="left"/>
      </w:pPr>
      <w:r>
        <w:rPr>
          <w:rFonts w:ascii="微软雅黑" w:hAnsi="微软雅黑" w:eastAsia="微软雅黑"/>
          <w:b w:val="0"/>
          <w:sz w:val="22"/>
        </w:rPr>
        <w:t>二、项目目标</w:t>
      </w:r>
    </w:p>
    <w:p>
      <w:pPr>
        <w:spacing w:before="0" w:after="160" w:line="432" w:lineRule="auto"/>
        <w:ind w:left="850"/>
        <w:jc w:val="left"/>
      </w:pPr>
      <w:r>
        <w:rPr>
          <w:rFonts w:ascii="微软雅黑" w:hAnsi="微软雅黑" w:eastAsia="微软雅黑"/>
          <w:b w:val="0"/>
          <w:sz w:val="22"/>
        </w:rPr>
        <w:t>三、功能模块设计</w:t>
      </w:r>
    </w:p>
    <w:p>
      <w:pPr>
        <w:spacing w:before="0" w:after="160" w:line="432" w:lineRule="auto"/>
        <w:ind w:left="850"/>
        <w:jc w:val="left"/>
      </w:pPr>
      <w:r>
        <w:rPr>
          <w:rFonts w:ascii="微软雅黑" w:hAnsi="微软雅黑" w:eastAsia="微软雅黑"/>
          <w:b w:val="0"/>
          <w:sz w:val="22"/>
        </w:rPr>
        <w:t>四、技术架构方案</w:t>
      </w:r>
    </w:p>
    <w:p>
      <w:pPr>
        <w:spacing w:before="0" w:after="160" w:line="432" w:lineRule="auto"/>
        <w:ind w:left="850"/>
        <w:jc w:val="left"/>
      </w:pPr>
      <w:r>
        <w:rPr>
          <w:rFonts w:ascii="微软雅黑" w:hAnsi="微软雅黑" w:eastAsia="微软雅黑"/>
          <w:b w:val="0"/>
          <w:sz w:val="22"/>
        </w:rPr>
        <w:t>五、项目进度安排</w:t>
      </w:r>
    </w:p>
    <w:p>
      <w:pPr>
        <w:spacing w:before="0" w:after="160" w:line="432" w:lineRule="auto"/>
        <w:ind w:left="850"/>
        <w:jc w:val="left"/>
      </w:pPr>
      <w:r>
        <w:rPr>
          <w:rFonts w:ascii="微软雅黑" w:hAnsi="微软雅黑" w:eastAsia="微软雅黑"/>
          <w:b w:val="0"/>
          <w:sz w:val="22"/>
        </w:rPr>
        <w:t>六、关键技术难点与解决方案</w:t>
      </w:r>
    </w:p>
    <w:p>
      <w:pPr>
        <w:spacing w:before="0" w:after="160" w:line="432" w:lineRule="auto"/>
        <w:ind w:left="850"/>
        <w:jc w:val="left"/>
      </w:pPr>
      <w:r>
        <w:rPr>
          <w:rFonts w:ascii="微软雅黑" w:hAnsi="微软雅黑" w:eastAsia="微软雅黑"/>
          <w:b w:val="0"/>
          <w:sz w:val="22"/>
        </w:rPr>
        <w:t>七、风险评估与应对</w:t>
      </w:r>
    </w:p>
    <w:p>
      <w:pPr>
        <w:spacing w:before="0" w:after="160" w:line="432" w:lineRule="auto"/>
        <w:ind w:left="850"/>
        <w:jc w:val="left"/>
      </w:pPr>
      <w:r>
        <w:rPr>
          <w:rFonts w:ascii="微软雅黑" w:hAnsi="微软雅黑" w:eastAsia="微软雅黑"/>
          <w:b w:val="0"/>
          <w:sz w:val="22"/>
        </w:rPr>
        <w:t>八、测试计划</w:t>
      </w:r>
    </w:p>
    <w:p>
      <w:pPr>
        <w:spacing w:before="0" w:after="160" w:line="432" w:lineRule="auto"/>
        <w:ind w:left="850"/>
        <w:jc w:val="left"/>
      </w:pPr>
      <w:r>
        <w:rPr>
          <w:rFonts w:ascii="微软雅黑" w:hAnsi="微软雅黑" w:eastAsia="微软雅黑"/>
          <w:b w:val="0"/>
          <w:sz w:val="22"/>
        </w:rPr>
        <w:t>九、交付物清单</w:t>
      </w:r>
    </w:p>
    <w:p>
      <w:pPr>
        <w:spacing w:before="0" w:after="160" w:line="432" w:lineRule="auto"/>
        <w:ind w:left="850"/>
        <w:jc w:val="left"/>
      </w:pPr>
      <w:r>
        <w:rPr>
          <w:rFonts w:ascii="微软雅黑" w:hAnsi="微软雅黑" w:eastAsia="微软雅黑"/>
          <w:b w:val="0"/>
          <w:sz w:val="22"/>
        </w:rPr>
        <w:t>十、团队分工与协作</w:t>
      </w:r>
    </w:p>
    <w:p>
      <w:r>
        <w:br w:type="page"/>
      </w:r>
    </w:p>
    <w:p>
      <w:pPr>
        <w:spacing w:before="360" w:after="200" w:line="360" w:lineRule="auto"/>
      </w:pPr>
      <w:r>
        <w:rPr>
          <w:rFonts w:ascii="微软雅黑" w:hAnsi="微软雅黑" w:eastAsia="微软雅黑"/>
          <w:b/>
          <w:sz w:val="32"/>
        </w:rPr>
        <w:t>一、项目概述</w:t>
      </w:r>
    </w:p>
    <w:p>
      <w:pPr>
        <w:spacing w:before="0" w:after="80" w:line="360" w:lineRule="auto"/>
        <w:jc w:val="left"/>
      </w:pPr>
      <w:r>
        <w:rPr>
          <w:rFonts w:ascii="微软雅黑" w:hAnsi="微软雅黑" w:eastAsia="微软雅黑"/>
          <w:b w:val="0"/>
          <w:sz w:val="21"/>
        </w:rPr>
        <w:t>项目名称：大学生智能成长平台</w:t>
      </w:r>
    </w:p>
    <w:p>
      <w:pPr>
        <w:spacing w:before="0" w:after="80" w:line="360" w:lineRule="auto"/>
        <w:jc w:val="left"/>
      </w:pPr>
      <w:r>
        <w:rPr>
          <w:rFonts w:ascii="微软雅黑" w:hAnsi="微软雅黑" w:eastAsia="微软雅黑"/>
          <w:b w:val="0"/>
          <w:sz w:val="21"/>
        </w:rPr>
        <w:t>项目类型：Python 程序设计课程设计</w:t>
      </w:r>
    </w:p>
    <w:p>
      <w:pPr>
        <w:spacing w:before="0" w:after="80" w:line="360" w:lineRule="auto"/>
        <w:jc w:val="left"/>
      </w:pPr>
      <w:r>
        <w:rPr>
          <w:rFonts w:ascii="微软雅黑" w:hAnsi="微软雅黑" w:eastAsia="微软雅黑"/>
          <w:b w:val="0"/>
          <w:sz w:val="21"/>
        </w:rPr>
        <w:t>项目周期：8 周</w:t>
      </w:r>
    </w:p>
    <w:p>
      <w:pPr>
        <w:spacing w:before="0" w:after="80" w:line="360" w:lineRule="auto"/>
        <w:jc w:val="left"/>
      </w:pPr>
      <w:r>
        <w:rPr>
          <w:rFonts w:ascii="微软雅黑" w:hAnsi="微软雅黑" w:eastAsia="微软雅黑"/>
          <w:b/>
          <w:sz w:val="21"/>
        </w:rPr>
        <w:t>项目背景：</w:t>
      </w:r>
    </w:p>
    <w:p>
      <w:pPr>
        <w:spacing w:before="0" w:after="120" w:line="360" w:lineRule="auto"/>
        <w:ind w:left="283"/>
        <w:jc w:val="left"/>
      </w:pPr>
      <w:r>
        <w:rPr>
          <w:rFonts w:ascii="微软雅黑" w:hAnsi="微软雅黑" w:eastAsia="微软雅黑"/>
          <w:b w:val="0"/>
          <w:sz w:val="21"/>
        </w:rPr>
        <w:t>当前高校学生普遍缺乏系统化的学习管理和健康追踪工具，传统教务系统仅提供成绩查询，无法提供个性化分析与智能建议。本项目旨在构建一个集学习管理、四维健康评估、机器学习预测、AI 辅助决策于一体的综合性平台，助力大学生全面成长。</w:t>
      </w:r>
    </w:p>
    <w:p>
      <w:pPr>
        <w:spacing w:before="360" w:after="200" w:line="360" w:lineRule="auto"/>
      </w:pPr>
      <w:r>
        <w:rPr>
          <w:rFonts w:ascii="微软雅黑" w:hAnsi="微软雅黑" w:eastAsia="微软雅黑"/>
          <w:b/>
          <w:sz w:val="32"/>
        </w:rPr>
        <w:t>二、项目目标</w:t>
      </w:r>
    </w:p>
    <w:p>
      <w:pPr>
        <w:spacing w:before="240" w:after="120" w:line="360" w:lineRule="auto"/>
      </w:pPr>
      <w:r>
        <w:rPr>
          <w:rFonts w:ascii="微软雅黑" w:hAnsi="微软雅黑" w:eastAsia="微软雅黑"/>
          <w:b/>
          <w:sz w:val="24"/>
        </w:rPr>
        <w:t>2.1 核心目标</w:t>
      </w:r>
    </w:p>
    <w:p>
      <w:pPr>
        <w:spacing w:before="0" w:after="60" w:line="360" w:lineRule="auto"/>
        <w:ind w:left="454"/>
        <w:jc w:val="left"/>
      </w:pPr>
      <w:r>
        <w:rPr>
          <w:rFonts w:ascii="微软雅黑" w:hAnsi="微软雅黑" w:eastAsia="微软雅黑"/>
          <w:b w:val="0"/>
          <w:sz w:val="21"/>
        </w:rPr>
        <w:t>1. 构建数字孪生健康评估模型，量化学生学业、身体、心理、社交四维度状态</w:t>
      </w:r>
    </w:p>
    <w:p>
      <w:pPr>
        <w:spacing w:before="0" w:after="60" w:line="360" w:lineRule="auto"/>
        <w:ind w:left="454"/>
        <w:jc w:val="left"/>
      </w:pPr>
      <w:r>
        <w:rPr>
          <w:rFonts w:ascii="微软雅黑" w:hAnsi="微软雅黑" w:eastAsia="微软雅黑"/>
          <w:b w:val="0"/>
          <w:sz w:val="21"/>
        </w:rPr>
        <w:t>2. 实现机器学习成绩预测，准确率达到 85% 以上</w:t>
      </w:r>
    </w:p>
    <w:p>
      <w:pPr>
        <w:spacing w:before="0" w:after="60" w:line="360" w:lineRule="auto"/>
        <w:ind w:left="454"/>
        <w:jc w:val="left"/>
      </w:pPr>
      <w:r>
        <w:rPr>
          <w:rFonts w:ascii="微软雅黑" w:hAnsi="微软雅黑" w:eastAsia="微软雅黑"/>
          <w:b w:val="0"/>
          <w:sz w:val="21"/>
        </w:rPr>
        <w:t>3. 接入大语言模型提供个性化 AI 教练服务</w:t>
      </w:r>
    </w:p>
    <w:p>
      <w:pPr>
        <w:spacing w:before="0" w:after="60" w:line="360" w:lineRule="auto"/>
        <w:ind w:left="454"/>
        <w:jc w:val="left"/>
      </w:pPr>
      <w:r>
        <w:rPr>
          <w:rFonts w:ascii="微软雅黑" w:hAnsi="微软雅黑" w:eastAsia="微软雅黑"/>
          <w:b w:val="0"/>
          <w:sz w:val="21"/>
        </w:rPr>
        <w:t>4. 构建课程知识图谱，可视化展示知识依赖与掌握程度</w:t>
      </w:r>
    </w:p>
    <w:p>
      <w:pPr>
        <w:spacing w:before="0" w:after="60" w:line="360" w:lineRule="auto"/>
        <w:ind w:left="454"/>
        <w:jc w:val="left"/>
      </w:pPr>
      <w:r>
        <w:rPr>
          <w:rFonts w:ascii="微软雅黑" w:hAnsi="微软雅黑" w:eastAsia="微软雅黑"/>
          <w:b w:val="0"/>
          <w:sz w:val="21"/>
        </w:rPr>
        <w:t>5. 提供桌面 GUI 与 Web 双界面，满足不同使用场景</w:t>
      </w:r>
    </w:p>
    <w:p>
      <w:pPr>
        <w:spacing w:before="240" w:after="120" w:line="360" w:lineRule="auto"/>
      </w:pPr>
      <w:r>
        <w:rPr>
          <w:rFonts w:ascii="微软雅黑" w:hAnsi="微软雅黑" w:eastAsia="微软雅黑"/>
          <w:b/>
          <w:sz w:val="24"/>
        </w:rPr>
        <w:t>2.2 量化指标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2835"/>
      </w:tblGrid>
      <w:tr>
        <w:tc>
          <w:tcPr>
            <w:tcW w:type="dxa" w:w="453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指标项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支持课程数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≥ 5 门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学习记录存储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≥ 100 条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健康评估响应时间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&lt; 2 秒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成绩预测最少训练数据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≥ 3 条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风险预警规则数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≥ 7 条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AI 教练支持模型数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≥ 3 种</w:t>
            </w:r>
          </w:p>
        </w:tc>
      </w:tr>
    </w:tbl>
    <w:p>
      <w:pPr>
        <w:spacing w:before="0" w:after="0" w:line="360" w:lineRule="auto"/>
        <w:jc w:val="left"/>
      </w:pPr>
    </w:p>
    <w:p>
      <w:r>
        <w:br w:type="page"/>
      </w:r>
    </w:p>
    <w:p>
      <w:pPr>
        <w:spacing w:before="360" w:after="200" w:line="360" w:lineRule="auto"/>
      </w:pPr>
      <w:r>
        <w:rPr>
          <w:rFonts w:ascii="微软雅黑" w:hAnsi="微软雅黑" w:eastAsia="微软雅黑"/>
          <w:b/>
          <w:sz w:val="32"/>
        </w:rPr>
        <w:t>三、功能模块设计</w:t>
      </w:r>
    </w:p>
    <w:p>
      <w:pPr>
        <w:spacing w:before="0" w:after="160" w:line="360" w:lineRule="auto"/>
        <w:jc w:val="left"/>
      </w:pPr>
      <w:r>
        <w:rPr>
          <w:rFonts w:ascii="微软雅黑" w:hAnsi="微软雅黑" w:eastAsia="微软雅黑"/>
          <w:b w:val="0"/>
          <w:sz w:val="21"/>
        </w:rPr>
        <w:t>本项目共包含 12 个核心功能模块，覆盖数据采集、智能分析、可视化展示、AI 辅助全流程：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7"/>
        <w:gridCol w:w="2098"/>
        <w:gridCol w:w="6236"/>
      </w:tblGrid>
      <w:tr>
        <w:tc>
          <w:tcPr>
            <w:tcW w:type="dxa" w:w="737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2098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模块名称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3.1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数据录入模块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学习记录、成绩、健康（身体/心理/社交）、个人信息、课程管理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3.2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仪表盘模块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综合健康度、风险等级、活跃告警、四维度评分概览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3.3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数字孪生模块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学业/身体/心理/社交四维度计算，雷达图+趋势折线图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3.4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成绩预测模块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线性回归/梯度提升两种算法，置信区间与及格概率输出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3.5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知识图谱模块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NetworkX 有向图构建，掌握度着色，薄弱点识别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3.6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AI 学习教练模块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LLM 对话，上下文注入，多轮记忆，快捷操作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3.7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风险预警模块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7 条检测规则，四级风险分级，自动告警与解除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3.8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学习计划模块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薄弱点驱动，四阶段任务分配，进度追踪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3.9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资源推荐模块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三层匹配策略，按课程去重，多类型资源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3.10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专注度监测模块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实时专注指数，14 天趋势，30 天热力图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3.11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成长档案模块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周报/月报/学期报告自动生成</w:t>
            </w:r>
          </w:p>
        </w:tc>
      </w:tr>
      <w:tr>
        <w:tc>
          <w:tcPr>
            <w:tcW w:type="dxa" w:w="73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3.12</w:t>
            </w:r>
          </w:p>
        </w:tc>
        <w:tc>
          <w:tcPr>
            <w:tcW w:type="dxa" w:w="209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数据可视化模块</w:t>
            </w:r>
          </w:p>
        </w:tc>
        <w:tc>
          <w:tcPr>
            <w:tcW w:type="dxa" w:w="6236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学习曲线、健康趋势、成绩雷达、知识热力图</w:t>
            </w:r>
          </w:p>
        </w:tc>
      </w:tr>
    </w:tbl>
    <w:p>
      <w:pPr>
        <w:spacing w:before="0" w:after="0" w:line="360" w:lineRule="auto"/>
        <w:jc w:val="left"/>
      </w:pPr>
    </w:p>
    <w:p>
      <w:r>
        <w:br w:type="page"/>
      </w:r>
    </w:p>
    <w:p>
      <w:pPr>
        <w:spacing w:before="360" w:after="200" w:line="360" w:lineRule="auto"/>
      </w:pPr>
      <w:r>
        <w:rPr>
          <w:rFonts w:ascii="微软雅黑" w:hAnsi="微软雅黑" w:eastAsia="微软雅黑"/>
          <w:b/>
          <w:sz w:val="32"/>
        </w:rPr>
        <w:t>四、技术架构方案</w:t>
      </w:r>
    </w:p>
    <w:p>
      <w:pPr>
        <w:spacing w:before="240" w:after="120" w:line="360" w:lineRule="auto"/>
      </w:pPr>
      <w:r>
        <w:rPr>
          <w:rFonts w:ascii="微软雅黑" w:hAnsi="微软雅黑" w:eastAsia="微软雅黑"/>
          <w:b/>
          <w:sz w:val="24"/>
        </w:rPr>
        <w:t>4.1 四层架构</w:t>
      </w:r>
    </w:p>
    <w:p>
      <w:pPr>
        <w:spacing w:before="0" w:after="160" w:line="360" w:lineRule="auto"/>
        <w:jc w:val="left"/>
      </w:pPr>
      <w:r>
        <w:rPr>
          <w:rFonts w:ascii="微软雅黑" w:hAnsi="微软雅黑" w:eastAsia="微软雅黑"/>
          <w:b w:val="0"/>
          <w:sz w:val="21"/>
        </w:rPr>
        <w:t>项目采用四层架构设计，实现业务逻辑与界面的完全解耦，桌面 GUI 与 Web 界面共享同一套后端：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4535"/>
        <w:gridCol w:w="3402"/>
      </w:tblGrid>
      <w:tr>
        <w:tc>
          <w:tcPr>
            <w:tcW w:type="dxa" w:w="1134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层次</w:t>
            </w:r>
          </w:p>
        </w:tc>
        <w:tc>
          <w:tcPr>
            <w:tcW w:type="dxa" w:w="453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技术栈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数据层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MySQL 8.4 + pymysql + DAO 模式 + threading.local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数据库连接、CRUD 操作、数据模型定义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业务层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Python 3.12 + scikit-learn + NetworkX + pandas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健康计算、成绩预测、图谱分析、对话管理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服务层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FastAPI + Uvicorn + Pydantic + 依赖注入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HTTP 接口、请求校验、依赖注入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表现层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PyQt5 + React 19 + TypeScript + ECharts + Tailwind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界面渲染、用户交互、图表展示</w:t>
            </w:r>
          </w:p>
        </w:tc>
      </w:tr>
    </w:tbl>
    <w:p>
      <w:pPr>
        <w:spacing w:before="0" w:after="0" w:line="360" w:lineRule="auto"/>
        <w:jc w:val="left"/>
      </w:pPr>
    </w:p>
    <w:p>
      <w:pPr>
        <w:spacing w:before="240" w:after="120" w:line="360" w:lineRule="auto"/>
      </w:pPr>
      <w:r>
        <w:rPr>
          <w:rFonts w:ascii="微软雅黑" w:hAnsi="微软雅黑" w:eastAsia="微软雅黑"/>
          <w:b/>
          <w:sz w:val="24"/>
        </w:rPr>
        <w:t>4.2 数据库设计（15 张表）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3685"/>
        <w:gridCol w:w="3969"/>
      </w:tblGrid>
      <w:tr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368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表名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基础表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student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学生信息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基础表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course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课程目录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基础表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student_course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选课与成绩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学习表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study_record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每日学习记录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学习表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knowledge_point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知识点节点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学习表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knowledge_mastery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知识点掌握度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健康表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health_assessment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健康评估快照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健康表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physical_health_record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身体健康记录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健康表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mental_health_record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心理健康记录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健康表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social_health_record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社交健康记录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risk_alert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风险告警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ai_coach_log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AI 对话日志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study_plan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学习计划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resource_recommendation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资源推荐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智能表</w:t>
            </w:r>
          </w:p>
        </w:tc>
        <w:tc>
          <w:tcPr>
            <w:tcW w:type="dxa" w:w="368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growth_report</w:t>
            </w:r>
          </w:p>
        </w:tc>
        <w:tc>
          <w:tcPr>
            <w:tcW w:type="dxa" w:w="396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成长档案</w:t>
            </w:r>
          </w:p>
        </w:tc>
      </w:tr>
    </w:tbl>
    <w:p>
      <w:pPr>
        <w:spacing w:before="0" w:after="0" w:line="360" w:lineRule="auto"/>
        <w:jc w:val="left"/>
      </w:pPr>
    </w:p>
    <w:p>
      <w:r>
        <w:br w:type="page"/>
      </w:r>
    </w:p>
    <w:p>
      <w:pPr>
        <w:spacing w:before="360" w:after="200" w:line="360" w:lineRule="auto"/>
      </w:pPr>
      <w:r>
        <w:rPr>
          <w:rFonts w:ascii="微软雅黑" w:hAnsi="微软雅黑" w:eastAsia="微软雅黑"/>
          <w:b/>
          <w:sz w:val="32"/>
        </w:rPr>
        <w:t>五、项目进度安排</w:t>
      </w:r>
    </w:p>
    <w:p>
      <w:pPr>
        <w:spacing w:before="0" w:after="160" w:line="360" w:lineRule="auto"/>
        <w:jc w:val="left"/>
      </w:pPr>
      <w:r>
        <w:rPr>
          <w:rFonts w:ascii="微软雅黑" w:hAnsi="微软雅黑" w:eastAsia="微软雅黑"/>
          <w:b w:val="0"/>
          <w:sz w:val="21"/>
        </w:rPr>
        <w:t>项目总周期 8 周，按敏捷开发模式分阶段交付：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1701"/>
        <w:gridCol w:w="3402"/>
        <w:gridCol w:w="3061"/>
      </w:tblGrid>
      <w:tr>
        <w:tc>
          <w:tcPr>
            <w:tcW w:type="dxa" w:w="907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周次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任务内容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 1 周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需求分析与设计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需求分析、技术选型、数据库设计与 ER 图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需求文档、ER 图、数据库脚本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 2 周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数据层开发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DatabaseManager、11 个 DAO 类、12 个数据模型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数据层代码、单元测试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 3 周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业务层核心开发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数字孪生健康评估、成绩预测、知识图谱模块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核心业务模块、算法验证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 4 周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业务层进阶开发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风险预警、AI 教练、学习计划、资源推荐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完整业务层代码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 5 周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桌面 GUI 开发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PyQt5 主窗口、12 个功能页面、双主题 QSS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桌面端可运行程序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 6 周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Web 后端开发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FastAPI 19 个路由、Pydantic Schema、依赖注入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Web API 接口文档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 7 周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Web 前端开发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React 15 个页面、ECharts 图表、路由守卫、状态管理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前端页面可访问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第 8 周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集成与交付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集成测试、性能优化、PyInstaller 打包、文档编写、答辩</w:t>
            </w:r>
          </w:p>
        </w:tc>
        <w:tc>
          <w:tcPr>
            <w:tcW w:type="dxa" w:w="306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EXE 安装包、完整文档</w:t>
            </w:r>
          </w:p>
        </w:tc>
      </w:tr>
    </w:tbl>
    <w:p>
      <w:pPr>
        <w:spacing w:before="0" w:after="0" w:line="360" w:lineRule="auto"/>
        <w:jc w:val="left"/>
      </w:pPr>
    </w:p>
    <w:p>
      <w:r>
        <w:br w:type="page"/>
      </w:r>
    </w:p>
    <w:p>
      <w:pPr>
        <w:spacing w:before="360" w:after="200" w:line="360" w:lineRule="auto"/>
      </w:pPr>
      <w:r>
        <w:rPr>
          <w:rFonts w:ascii="微软雅黑" w:hAnsi="微软雅黑" w:eastAsia="微软雅黑"/>
          <w:b/>
          <w:sz w:val="32"/>
        </w:rPr>
        <w:t>六、关键技术难点与解决方案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871"/>
        <w:gridCol w:w="3118"/>
        <w:gridCol w:w="3402"/>
      </w:tblGrid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871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技术难点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问题描述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解决方案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6.1</w:t>
            </w:r>
          </w:p>
        </w:tc>
        <w:tc>
          <w:tcPr>
            <w:tcW w:type="dxa" w:w="187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多线程数据库连接安全</w:t>
            </w:r>
          </w:p>
        </w:tc>
        <w:tc>
          <w:tcPr>
            <w:tcW w:type="dxa" w:w="311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并发请求下共享单连接可能导致 500 错误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 threading.local() 实现线程隔离连接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6.2</w:t>
            </w:r>
          </w:p>
        </w:tc>
        <w:tc>
          <w:tcPr>
            <w:tcW w:type="dxa" w:w="187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成绩预测数据不足</w:t>
            </w:r>
          </w:p>
        </w:tc>
        <w:tc>
          <w:tcPr>
            <w:tcW w:type="dxa" w:w="311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新课程数据少时模型训练效果差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支持线性回归与梯度提升策略切换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6.3</w:t>
            </w:r>
          </w:p>
        </w:tc>
        <w:tc>
          <w:tcPr>
            <w:tcW w:type="dxa" w:w="187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API Key 安全存储</w:t>
            </w:r>
          </w:p>
        </w:tc>
        <w:tc>
          <w:tcPr>
            <w:tcW w:type="dxa" w:w="311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配置文件明文存储 API Key 存在风险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Base64 编码存储，运行时解码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6.4</w:t>
            </w:r>
          </w:p>
        </w:tc>
        <w:tc>
          <w:tcPr>
            <w:tcW w:type="dxa" w:w="187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双界面共享业务逻辑</w:t>
            </w:r>
          </w:p>
        </w:tc>
        <w:tc>
          <w:tcPr>
            <w:tcW w:type="dxa" w:w="311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桌面 GUI 与 Web 界面逻辑重复开发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业务层独立，统一调用 Business 类接口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6.5</w:t>
            </w:r>
          </w:p>
        </w:tc>
        <w:tc>
          <w:tcPr>
            <w:tcW w:type="dxa" w:w="187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知识图谱可视化布局</w:t>
            </w:r>
          </w:p>
        </w:tc>
        <w:tc>
          <w:tcPr>
            <w:tcW w:type="dxa" w:w="311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知识点多且关系复杂，布局易混乱</w:t>
            </w:r>
          </w:p>
        </w:tc>
        <w:tc>
          <w:tcPr>
            <w:tcW w:type="dxa" w:w="340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NetworkX spring_layout + 掌握度着色</w:t>
            </w:r>
          </w:p>
        </w:tc>
      </w:tr>
    </w:tbl>
    <w:p>
      <w:pPr>
        <w:spacing w:before="0" w:after="0" w:line="360" w:lineRule="auto"/>
        <w:jc w:val="left"/>
      </w:pPr>
    </w:p>
    <w:p>
      <w:r>
        <w:br w:type="page"/>
      </w:r>
    </w:p>
    <w:p>
      <w:pPr>
        <w:spacing w:before="360" w:after="200" w:line="360" w:lineRule="auto"/>
      </w:pPr>
      <w:r>
        <w:rPr>
          <w:rFonts w:ascii="微软雅黑" w:hAnsi="微软雅黑" w:eastAsia="微软雅黑"/>
          <w:b/>
          <w:sz w:val="32"/>
        </w:rPr>
        <w:t>七、风险评估与应对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417"/>
        <w:gridCol w:w="2835"/>
        <w:gridCol w:w="4139"/>
      </w:tblGrid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风险类型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风险描述</w:t>
            </w:r>
          </w:p>
        </w:tc>
        <w:tc>
          <w:tcPr>
            <w:tcW w:type="dxa" w:w="413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应对措施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7.1</w:t>
            </w:r>
          </w:p>
        </w:tc>
        <w:tc>
          <w:tcPr>
            <w:tcW w:type="dxa" w:w="1417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技术风险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机器学习预测精度不达标</w:t>
            </w:r>
          </w:p>
        </w:tc>
        <w:tc>
          <w:tcPr>
            <w:tcW w:type="dxa" w:w="413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增加梯度提升集成算法，支持交叉验证调参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7.2</w:t>
            </w:r>
          </w:p>
        </w:tc>
        <w:tc>
          <w:tcPr>
            <w:tcW w:type="dxa" w:w="1417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进度风险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双界面开发工作量大</w:t>
            </w:r>
          </w:p>
        </w:tc>
        <w:tc>
          <w:tcPr>
            <w:tcW w:type="dxa" w:w="413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优先完成桌面 GUI，Web 界面并行开发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7.3</w:t>
            </w:r>
          </w:p>
        </w:tc>
        <w:tc>
          <w:tcPr>
            <w:tcW w:type="dxa" w:w="1417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依赖风险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大语言模型 API 可用性</w:t>
            </w:r>
          </w:p>
        </w:tc>
        <w:tc>
          <w:tcPr>
            <w:tcW w:type="dxa" w:w="413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支持多家提供商切换，兼容自定义端点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7.4</w:t>
            </w:r>
          </w:p>
        </w:tc>
        <w:tc>
          <w:tcPr>
            <w:tcW w:type="dxa" w:w="1417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数据风险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数据库迁移失败</w:t>
            </w:r>
          </w:p>
        </w:tc>
        <w:tc>
          <w:tcPr>
            <w:tcW w:type="dxa" w:w="4139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分版本 SQL 脚本，幂等执行，可回滚</w:t>
            </w:r>
          </w:p>
        </w:tc>
      </w:tr>
    </w:tbl>
    <w:p>
      <w:pPr>
        <w:spacing w:before="0" w:after="0" w:line="360" w:lineRule="auto"/>
        <w:jc w:val="left"/>
      </w:pPr>
    </w:p>
    <w:p>
      <w:pPr>
        <w:spacing w:before="360" w:after="200" w:line="360" w:lineRule="auto"/>
      </w:pPr>
      <w:r>
        <w:rPr>
          <w:rFonts w:ascii="微软雅黑" w:hAnsi="微软雅黑" w:eastAsia="微软雅黑"/>
          <w:b/>
          <w:sz w:val="32"/>
        </w:rPr>
        <w:t>八、测试计划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4535"/>
        <w:gridCol w:w="3118"/>
      </w:tblGrid>
      <w:tr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测试类型</w:t>
            </w:r>
          </w:p>
        </w:tc>
        <w:tc>
          <w:tcPr>
            <w:tcW w:type="dxa" w:w="453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测试内容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通过标准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单元测试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数据库连接、数字孪生、成绩预测、知识图谱、风险预警、AI 教练</w:t>
            </w:r>
          </w:p>
        </w:tc>
        <w:tc>
          <w:tcPr>
            <w:tcW w:type="dxa" w:w="311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6 个测试模块全部通过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集成测试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GUI Widget 与业务层联动、Web API 端到端请求</w:t>
            </w:r>
          </w:p>
        </w:tc>
        <w:tc>
          <w:tcPr>
            <w:tcW w:type="dxa" w:w="311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核心流程无异常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性能测试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健康评估响应时间、批量导入 100 条学习记录</w:t>
            </w:r>
          </w:p>
        </w:tc>
        <w:tc>
          <w:tcPr>
            <w:tcW w:type="dxa" w:w="311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响应 &lt; 2 秒，无内存泄漏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兼容性测试</w:t>
            </w:r>
          </w:p>
        </w:tc>
        <w:tc>
          <w:tcPr>
            <w:tcW w:type="dxa" w:w="45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Windows 10/11 桌面端、Chrome/Edge 浏览器</w:t>
            </w:r>
          </w:p>
        </w:tc>
        <w:tc>
          <w:tcPr>
            <w:tcW w:type="dxa" w:w="3118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主流环境均可正常运行</w:t>
            </w:r>
          </w:p>
        </w:tc>
      </w:tr>
    </w:tbl>
    <w:p>
      <w:pPr>
        <w:spacing w:before="0" w:after="0" w:line="360" w:lineRule="auto"/>
        <w:jc w:val="left"/>
      </w:pPr>
    </w:p>
    <w:p>
      <w:r>
        <w:br w:type="page"/>
      </w:r>
    </w:p>
    <w:p>
      <w:pPr>
        <w:spacing w:before="360" w:after="200" w:line="360" w:lineRule="auto"/>
      </w:pPr>
      <w:r>
        <w:rPr>
          <w:rFonts w:ascii="微软雅黑" w:hAnsi="微软雅黑" w:eastAsia="微软雅黑"/>
          <w:b/>
          <w:sz w:val="32"/>
        </w:rPr>
        <w:t>九、交付物清单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701"/>
        <w:gridCol w:w="6690"/>
      </w:tblGrid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type="dxa" w:w="669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9.1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源代码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四层架构完整代码（business_layer / data_layer / presentation_layer / web / frontend）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9.2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数据库脚本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SQL 建表脚本（schema / v2_extend / v3_health_extend）+ 演示数据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9.3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桌面端程序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PyInstaller 打包的单文件 EXE（含 logo 图标），约 143 MB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9.4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Web 端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FastAPI 后端源码 + React 前端构建产物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9.5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文档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README 使用说明 + 项目计划书 + 架构设计文档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9.6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配置文件</w:t>
            </w:r>
          </w:p>
        </w:tc>
        <w:tc>
          <w:tcPr>
            <w:tcW w:type="dxa" w:w="6690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config.example.json 配置模板 + build.spec 打包配置</w:t>
            </w:r>
          </w:p>
        </w:tc>
      </w:tr>
    </w:tbl>
    <w:p>
      <w:pPr>
        <w:spacing w:before="0" w:after="0" w:line="360" w:lineRule="auto"/>
        <w:jc w:val="left"/>
      </w:pPr>
    </w:p>
    <w:p>
      <w:pPr>
        <w:spacing w:before="360" w:after="200" w:line="360" w:lineRule="auto"/>
      </w:pPr>
      <w:r>
        <w:rPr>
          <w:rFonts w:ascii="微软雅黑" w:hAnsi="微软雅黑" w:eastAsia="微软雅黑"/>
          <w:b/>
          <w:sz w:val="32"/>
        </w:rPr>
        <w:t>十、团队分工与协作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2835"/>
        <w:gridCol w:w="4252"/>
      </w:tblGrid>
      <w:tr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type="dxa" w:w="4252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主要产出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后端开发工程师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数据层 + 业务层 + Web API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DatabaseManager、DAO、Business 类、FastAPI 路由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前端开发工程师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桌面 GUI + Web 前端界面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PyQt5 Widget、React 页面、ECharts 图表、主题样式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算法开发工程师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成绩预测模型、知识图谱算法、风险预警规则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机器学习模型、NetworkX 图谱、规则引擎</w:t>
            </w:r>
          </w:p>
        </w:tc>
      </w:tr>
      <w:tr>
        <w:tc>
          <w:tcPr>
            <w:tcW w:type="dxa" w:w="1984"/>
          </w:tcPr>
          <w:p>
            <w:pPr>
              <w:spacing w:before="40" w:after="40" w:line="31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测试运维工程师</w:t>
            </w:r>
          </w:p>
        </w:tc>
        <w:tc>
          <w:tcPr>
            <w:tcW w:type="dxa" w:w="2835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单元测试、打包部署、文档编写</w:t>
            </w:r>
          </w:p>
        </w:tc>
        <w:tc>
          <w:tcPr>
            <w:tcW w:type="dxa" w:w="4252"/>
          </w:tcPr>
          <w:p>
            <w:pPr>
              <w:spacing w:before="40" w:after="40" w:line="312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pytest 测试用例、PyInstaller 打包、README 文档</w:t>
            </w:r>
          </w:p>
        </w:tc>
      </w:tr>
    </w:tbl>
    <w:p>
      <w:pPr>
        <w:spacing w:before="0" w:after="0" w:line="360" w:lineRule="auto"/>
        <w:jc w:val="left"/>
      </w:pPr>
    </w:p>
    <w:p>
      <w:pPr>
        <w:spacing w:before="0" w:after="400" w:line="360" w:lineRule="auto"/>
        <w:jc w:val="left"/>
      </w:pP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sz w:val="20"/>
        </w:rPr>
        <w:t>—— 文档结束 ——</w:t>
      </w:r>
    </w:p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sz w:val="20"/>
        </w:rPr>
        <w:t>版本 v1.0    2026-08-11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