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4E001E2D">
      <w:pPr>
        <w:pStyle w:val="000002"/>
        <w:keepNext w:val="1"/>
        <w:keepLines w:val="1"/>
        <w:pBdr>
          <w:bottom w:val="single" w:color="c08b4e" w:sz="16" w:space="6"/>
        </w:pBdr>
        <w:spacing w:before="100" w:beforeAutospacing="1" w:after="80" w:afterAutospacing="1" w:line="420"/>
        <w:outlineLvl w:val="0"/>
        <w:rPr>
          <w:color w:val="15161a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40"/>
        </w:rPr>
        <w:t>拾光（ShiGuang）约拍撮合 App 项目流程文档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6FCF1CF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项目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FDB21C9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4BE14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文档名称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B6439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拾光（ShiGuang）约拍撮合 App 项目流程文档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2E43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文档版本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5FE20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V1.0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D7659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编制日期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8008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2026 年 10 月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0078B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文档定位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7930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项目立项与设计过程的完整记录，配套《产品需求文档（PRD）》与高保真可交互原型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CEF1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阅读顺序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F2ABC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本文档（为什么做、为谁做、怎么做）→ PRD（具体做什么）→ 原型（长什么样）</w:t>
            </w:r>
          </w:p>
        </w:tc>
      </w:tr>
    </w:tbl>
    <w:p w14:paraId="673B34C2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一、项目背景</w:t>
      </w:r>
    </w:p>
    <w:p w14:paraId="772B6D50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1.1 产品立意</w:t>
      </w:r>
    </w:p>
    <w:p w14:paraId="0A5C87F1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拾光是一个连接"想通过拍照赚钱的人"与"想找到好摄影师的人"的双边撮合交易 App。</w:t>
      </w:r>
    </w:p>
    <w:p w14:paraId="68790848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平台一端承接摄影师与创作者的接单变现诉求，一端承接个人与商家对专业拍摄服务的需求，通过作品展示、在线沟通、安全下单、资金托管与信任评价，把"约拍"从分散、无保障的私下交易，变成有撮合、有保障、可沉淀口碑的标准化服务。</w:t>
      </w:r>
    </w:p>
    <w:p w14:paraId="4D39DC6E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产品名"拾光"，取"拾取时光"之意，对应摄影"留住此刻"的本质。</w:t>
      </w:r>
    </w:p>
    <w:p w14:paraId="5D490498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1.2 市场痛点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7969686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对象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AE79189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核心痛点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76396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 / 创作者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9E2E0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找客户难，接单零散不稳定；作品缺少稳定曝光渠道，获客依赖熟人与私域；交易无保障，常遇爽约、跑单、压价与尾款纠纷；定价缺乏参照，不了解行情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A7476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需求方（个人 / 商家）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249B9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找不到靠谱摄影师，水平与报价不透明；选择成本高，需在多个平台间反复比价；交易无保障，担心付了定金被放鸽子或成品不达标；出问题后缺乏追责手段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BFFC1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市场整体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0077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撮合渠道分散于垂直约拍平台、内容社区私信与泛交易平台，缺少"撮合 + 交易保障 + 信任评价"一体化、具规模的平台</w:t>
            </w:r>
          </w:p>
        </w:tc>
      </w:tr>
    </w:tbl>
    <w:p w14:paraId="2DE4DE8E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1.3 项目目标与双边飞轮</w:t>
      </w:r>
    </w:p>
    <w:p w14:paraId="309383F5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对摄影师：提供一站式接单、作品展示、排期管理与收入管理，让摄影师能够持续、稳定、有保障地靠拍摄赚钱。</w:t>
      </w:r>
    </w:p>
    <w:p w14:paraId="10E4CEAA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对需求方：提供搜索筛选、在线沟通、安全下单、资金托管与评价保障，让需求方能够快速、放心地找到合适的摄影师。</w:t>
      </w:r>
    </w:p>
    <w:p w14:paraId="5EEB70F0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对平台：通过撮合服务费与增值服务获利，并驱动飞轮运转：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08b4e" w:sz="24"/>
              <w:bottom w:val="none" w:sz="8"/>
              <w:right w:val="none" w:sz="8"/>
            </w:tcBorders>
            <w:shd w:val="clear" w:fill="fbf6ee"/>
            <w:vAlign w:val="center"/>
          </w:tcPr>
          <w:p w14:paraId="35BEF47B">
            <w:pPr>
              <w:rPr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color w:val="5c421f"/>
                <w:sz w:val="20"/>
              </w:rPr>
              <w:t>摄影师多 → 供给充足 → 需求方选择多、体验好 → 需求方多 → 订单多 → 摄影师收入高 → 吸引更多摄影师</w:t>
            </w:r>
          </w:p>
        </w:tc>
      </w:tr>
    </w:tbl>
    <w:p w14:paraId="789776BD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飞轮的核心约束在于：</w:t>
      </w: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供给的质量比数量更早成为瓶颈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。因此 V1.0 把摄影师认证与作品审核放在功能清单的最前端，而非等规模起来再治理。</w:t>
      </w:r>
    </w:p>
    <w:p w14:paraId="08805921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二、研究方法说明</w:t>
      </w:r>
    </w:p>
    <w:p w14:paraId="7548EACF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本节说明本项目采用的研究方法与评审机制。</w:t>
      </w:r>
    </w:p>
    <w:p w14:paraId="6A92036A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已采用的方法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</w:t>
      </w:r>
    </w:p>
    <w:p w14:paraId="7687B061">
      <w:pPr>
        <w:numPr>
          <w:ilvl w:val="0"/>
          <w:numId w:val="1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竞品拆解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：对四类共 15 个相关产品做功能与商业模式层面的对比，识别结构性缺口（见第四章）。</w:t>
      </w:r>
    </w:p>
    <w:p w14:paraId="03B29CBF">
      <w:pPr>
        <w:numPr>
          <w:ilvl w:val="0"/>
          <w:numId w:val="1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桌面研究：通过公开渠道了解约拍品类的主流交易方式、常见纠纷类型与用户讨论，用于归纳主流交易方式与纠纷类型的共性模式。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</w:r>
    </w:p>
    <w:p w14:paraId="5D9FEA61">
      <w:pPr>
        <w:numPr>
          <w:ilvl w:val="0"/>
          <w:numId w:val="1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设计推演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：基于撮合交易的通用模型，推导资金托管、状态机与异常分支的设计。</w:t>
      </w:r>
    </w:p>
    <w:p w14:paraId="5D9FEA61">
      <w:pPr>
        <w:numPr>
          <w:ilvl w:val="0"/>
          <w:numId w:val="1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专家评审：按 Nielsen 十项启发式原则对原型做可用性评审，识别 11 项问题并全部完成修复（见《拾光原型启发式评估报告》）。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</w:r>
    </w:p>
    <w:p w14:paraId="743F546E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上述方法支撑的是产品结构层面的判断——交易链路、资金路径、状态机与异常分支，这些结论均可追溯到竞品事实与公开讨论记录。定价档位与抽佣比例属于参数化配置，不构成结构性依赖。</w:t>
      </w: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</w:r>
      <w:r>
        <w:rPr>
          <w:rFonts w:hint="eastAsia" w:ascii="Microsoft YaHei" w:hAnsi="Microsoft YaHei" w:eastAsia="Microsoft YaHei" w:cs="Microsoft YaHei"/>
          <w:color w:val="1a1a1a"/>
          <w:sz w:val="21"/>
        </w:rPr>
      </w:r>
    </w:p>
    <w:p w14:paraId="49B7BDFB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三、用户画像</w:t>
      </w:r>
    </w:p>
    <w:p w14:paraId="0CC996C0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3.1 需求方：想被记录的人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BED08DA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维度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280675C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描述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00EE2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代表人群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80F88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大学生、职场新人、情侣、宝妈、探店博主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01A8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典型场景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7C28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写真、毕业照、情侣照、闺蜜照、生日纪念、宠物、探店跟拍、旅拍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E42BD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核心诉求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ABED6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找到水平可见、价格透明、不放鸽子的摄影师，且能出好片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2465F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画像摘要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1F5E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年龄约 18 至 35 岁；关注性价比与安心感；愿意为"有保障的体验"支付少量溢价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9546C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主要顾虑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03941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付了定金被放鸽子；成片与样片差距大；价格不透明被临时加价</w:t>
            </w:r>
          </w:p>
        </w:tc>
      </w:tr>
    </w:tbl>
    <w:p w14:paraId="2F59EA0D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3.2 供给侧：想靠拍照赚钱的人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67D0833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维度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D008A69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描述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809A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代表人群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2D3CD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独立摄影师、约拍摄影师、摄影爱好者转兼职、陪拍与跟拍从业者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A5142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典型诉求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924E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有稳定客源、作品被看见、接单有保障、收入透明可提现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11D51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核心痛点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243CB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获客难、接单不稳定、交易无保障、定价无依据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BC14C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画像摘要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6411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年龄约 20 至 40 岁；把拍摄作为主业或副业；期望平台带来稳定订单与口碑沉淀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FC701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关键顾虑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364F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平台抽佣是否吃掉利润；客户是否会在平台外私下成交；结算是否及时</w:t>
            </w:r>
          </w:p>
        </w:tc>
      </w:tr>
    </w:tbl>
    <w:p w14:paraId="6C0186B9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3.3 需求方：小型商家与机构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53C3463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维度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DD8E5BD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描述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4BBD2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代表人群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95D3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婚庆公司、活动主办方、民宿、餐饮门店、内容机构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2D331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典型诉求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7999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按需找到能力匹配、可按时交付的摄影师；支持批量或长周期合作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F9A86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合作方式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5BBE0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商业拍摄、活动跟拍、门店素材、探店内容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D897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画像摘要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5FF9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使用者为商家运营或市场岗；关注交付时效、质量稳定性与结算便捷性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6ECAB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V1.0 处理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B2D48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本期不做独立的商家端，以个人需求方身份承接商拍需求；批量与长期合作放入 V1.x</w:t>
            </w:r>
          </w:p>
        </w:tc>
      </w:tr>
    </w:tbl>
    <w:p w14:paraId="71F5219C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四、竞品分析</w:t>
      </w:r>
    </w:p>
    <w:p w14:paraId="0180996E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4.1 竞品谱系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AACFD28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类别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7DF6EF1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代表产品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C6FDF46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模式特征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9388FC3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主要局限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9527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垂直约拍撮合平台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13ED8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咔咔约拍、合拍、麻豆约拍、裹来、去拍拍、拍me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56C3D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以撮合为核心，直接连接需求方与摄影师，部分产品已引入保障机制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B97D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体量分散，多为区域性；供给质量参差；保障机制不统一，多数只覆盖单一环节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BB541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摄影内容社区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B32C8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米拍、蜂鸟摄影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2D177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内容与社区氛围强，聚集大量摄影师与作品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07ADC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撮合与交易能力弱，社区流量到交易的链路缺失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5982A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泛社交 / 二手交易平台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F533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小红书、闲鱼、抖音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AB7C9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流量大，用户自发发布约拍需求与作品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370D4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无撮合结构、无交易保障，多依赖私域成交，纠纷缺乏处理机制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AFF6C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海外对标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A47C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theCam、CRE8、PicME、Scratch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5CE23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已验证"按地理位置找摄影师 + 在线预订"的模式可行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E4E0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本地化成本高，国内供给与支付生态不匹配</w:t>
            </w:r>
          </w:p>
        </w:tc>
      </w:tr>
    </w:tbl>
    <w:p w14:paraId="5876684D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4.2 核心结论与机会点</w:t>
      </w:r>
    </w:p>
    <w:p w14:paraId="7865B969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四类产品的短板呈现明显的互补关系：</w:t>
      </w:r>
    </w:p>
    <w:p w14:paraId="0DFD0014">
      <w:pPr>
        <w:numPr>
          <w:ilvl w:val="0"/>
          <w:numId w:val="3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垂直约拍平台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：有撮合，缺保障。能连上人，但出问题没人兜底。</w:t>
      </w:r>
    </w:p>
    <w:p w14:paraId="4DDE6E75">
      <w:pPr>
        <w:numPr>
          <w:ilvl w:val="0"/>
          <w:numId w:val="3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内容社区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：有流量，缺交易。用户看完作品仍需跳转到私信或第三方完成交易。</w:t>
      </w:r>
    </w:p>
    <w:p w14:paraId="6C4A2301">
      <w:pPr>
        <w:numPr>
          <w:ilvl w:val="0"/>
          <w:numId w:val="3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泛交易平台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：有流量，无结构。供需匹配靠搜索与运气，无标准化服务单元。</w:t>
      </w:r>
    </w:p>
    <w:p w14:paraId="0EB6E5B6">
      <w:pPr>
        <w:numPr>
          <w:ilvl w:val="0"/>
          <w:numId w:val="3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1"/>
        </w:rPr>
        <w:t>海外产品</w:t>
      </w:r>
      <w:r>
        <w:rPr>
          <w:rFonts w:hint="eastAsia" w:ascii="Microsoft YaHei" w:hAnsi="Microsoft YaHei" w:eastAsia="Microsoft YaHei" w:cs="Microsoft YaHei"/>
          <w:color w:val="1a1a1a"/>
          <w:sz w:val="21"/>
        </w:rPr>
        <w:t>：有模式，缺本地化。支付、实名与供给组织方式与国内差异较大。</w:t>
      </w:r>
    </w:p>
    <w:p w14:paraId="525FFE4B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由此得出差异化机会：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08b4e" w:sz="24"/>
              <w:bottom w:val="none" w:sz="8"/>
              <w:right w:val="none" w:sz="8"/>
            </w:tcBorders>
            <w:shd w:val="clear" w:fill="fbf6ee"/>
            <w:vAlign w:val="center"/>
          </w:tcPr>
          <w:p w14:paraId="1F00C428">
            <w:pPr>
              <w:rPr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color w:val="5c421f"/>
                <w:sz w:val="20"/>
              </w:rPr>
              <w:t>不做"又一个作品展示社区"，也不做"又一个信息黄页"，而是做</w:t>
            </w:r>
            <w:r>
              <w:rPr>
                <w:rFonts w:hint="eastAsia" w:ascii="Microsoft YaHei" w:hAnsi="Microsoft YaHei" w:eastAsia="Microsoft YaHei" w:cs="Microsoft YaHei"/>
                <w:b w:val="1"/>
                <w:color w:val="15161a"/>
                <w:sz w:val="20"/>
              </w:rPr>
              <w:t>撮合、保障与信任沉淀一体化的交易基础设施</w:t>
            </w:r>
            <w:r>
              <w:rPr>
                <w:rFonts w:hint="eastAsia" w:ascii="Microsoft YaHei" w:hAnsi="Microsoft YaHei" w:eastAsia="Microsoft YaHei" w:cs="Microsoft YaHei"/>
                <w:color w:val="5c421f"/>
                <w:sz w:val="20"/>
              </w:rPr>
              <w:t>。</w:t>
            </w:r>
          </w:p>
        </w:tc>
      </w:tr>
    </w:tbl>
    <w:p w14:paraId="27D62A6B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可借鉴的具体做法：</w:t>
      </w:r>
    </w:p>
    <w:p w14:paraId="07E43902">
      <w:pPr>
        <w:numPr>
          <w:ilvl w:val="0"/>
          <w:numId w:val="4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借鉴垂直平台已跑通的保障思路（如爽约金、不满意退款），但将其整合为覆盖交易全链路的四项机制，而非单点功能；</w:t>
      </w:r>
    </w:p>
    <w:p w14:paraId="472D17D5">
      <w:pPr>
        <w:numPr>
          <w:ilvl w:val="0"/>
          <w:numId w:val="4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借鉴内容社区以作品建立信任的方式，把作品集作为摄影师主页的第一信息层；</w:t>
      </w:r>
    </w:p>
    <w:p w14:paraId="0749F594">
      <w:pPr>
        <w:numPr>
          <w:ilvl w:val="0"/>
          <w:numId w:val="4"/>
        </w:numPr>
        <w:spacing w:before="60" w:after="60" w:line="420"/>
        <w:ind w:left="60" w:right="60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借鉴海外产品的"按位置 + 在线预订"结构，但适配国内支付与实名体系。</w:t>
      </w:r>
    </w:p>
    <w:p w14:paraId="1748AD1B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4.3 资料来源</w:t>
      </w:r>
    </w:p>
    <w:p w14:paraId="1F32BF0B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竞品信息来自各产品的官网、应用商店产品页与公开报道，检索时间为 2026 年 10 月。本节为定性对比，未采集各产品的经营数据，因此不引用任何营收、用户量或订单量指标。</w:t>
      </w:r>
    </w:p>
    <w:p w14:paraId="41732016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五、产品功能结构图</w:t>
      </w:r>
    </w:p>
    <w:p w14:paraId="3F3A0C1A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5.1 用户端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4DAAE1C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模块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4FC8B46C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功能点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4A3D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首页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9692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推荐作品流、搜索入口、拍摄类型快捷入口、活动 Banner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26921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搜索与筛选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B36D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关键词搜索；按城市、拍摄类型、价格区间、评分、认证标签筛选；排序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EA915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摄影师主页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67F75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作品集、服务介绍、认证标识、套餐列表、评价；收藏与关注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EC50A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预约下单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13A5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选套餐 → 选时间与地点 → 在线支付（平台托管）→ 生成订单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B36CB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在线沟通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C8424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文字与图片消息、发送参考图、消息通知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58C2C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订单中心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384C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待付款、待接单、待服务、服务中、待结算、已完成、售后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49C4F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评价系统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93A62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星级 + 图文评价、追评、评分计入综合分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833CA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钱包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79D8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余额、充值、支付与退款记录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376D7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收藏 / 关注 / 邀请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917BB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收藏作品、关注摄影师、邀请码分享与奖励</w:t>
            </w:r>
          </w:p>
        </w:tc>
      </w:tr>
    </w:tbl>
    <w:p w14:paraId="5E011385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5.2 摄影师端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5DCE2B7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模块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EF378F0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功能点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BB847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入驻与认证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3D447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实名认证、资质上传、作品审核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B55CC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作品管理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8F77A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发布、编辑、删除、封面与标签设置、过审状态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010E3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套餐管理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3A259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发布与编辑套餐（内容、时长、价格、适用范围）、下架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CA1D2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排期管理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3DF3D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可约时间设置、忙闲状态、冲突拦截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A6B3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接单管理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D82AE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接单、拒单、状态流转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48796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收入中心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CE618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余额、佣金明细、提现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5A3E0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数据看板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830FE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曝光量、咨询量、下单量、评价分、转化漏斗</w:t>
            </w:r>
          </w:p>
        </w:tc>
      </w:tr>
    </w:tbl>
    <w:p w14:paraId="73249654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5.3 平台端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A4824C6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模块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CCE2EC1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功能点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E491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审核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57D96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实名、资质、作品审核与上下架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07051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交易与资金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DA7B8F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订单监管、托管冻结与解冻、退款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F8E0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结算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DA355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撮合服务费计算、佣金明细、提现放款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8179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风控与纠纷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7F08D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爽约判定、退款仲裁、投诉处理、账号处置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B82F9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内容与运营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35741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内容审核、Banner 与活动配置、推荐位管理</w:t>
            </w:r>
          </w:p>
        </w:tc>
      </w:tr>
    </w:tbl>
    <w:p w14:paraId="2A63B9EE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六、核心业务流程图</w:t>
      </w:r>
    </w:p>
    <w:p w14:paraId="0DCA32C9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6.1 下单—履约—结算主流程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6EA60C7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步骤</w:t>
            </w:r>
          </w:p>
        </w:tc>
        <w:tc>
          <w:tcPr>
            <w:tcW w:w="2768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F01F245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动作</w:t>
            </w:r>
          </w:p>
        </w:tc>
        <w:tc>
          <w:tcPr>
            <w:tcW w:w="2768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4D6733C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订单状态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E6E3FE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C82C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需求方搜索或浏览，查看摄影师与套餐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B6D5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—（尚未生成订单）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266503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3AA47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选择套餐并约定时间、地点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7356E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待付款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4A372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658E4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提交订单并支付，款项由平台托管冻结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91F75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待接单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4E46D4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37FD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摄影师接单；拒单则自动原路退款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1F69A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待服务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3C858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E5EA3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按约定时间地点完成拍摄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C8747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服务中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ECE3B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93A3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需求方确认验收或发起售后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BA54D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待结算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82EAC8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ECB9B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平台扣除撮合服务费后结算给摄影师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972D6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已结算</w:t>
            </w:r>
          </w:p>
        </w:tc>
      </w:tr>
      <w:tr>
        <w:trPr/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F64122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6E577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双方互评，订单完成</w:t>
            </w:r>
          </w:p>
        </w:tc>
        <w:tc>
          <w:tcPr>
            <w:tcW w:w="2768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480F3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已完成</w:t>
            </w:r>
          </w:p>
        </w:tc>
      </w:tr>
    </w:tbl>
    <w:p w14:paraId="05BC94AC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6.2 摄影师入驻认证流程</w:t>
      </w:r>
    </w:p>
    <w:p w14:paraId="307EB8B9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填写资料 → 实名认证 → 上传资质与作品 → 平台审核 → 通过后开张（驳回则补充材料重提）→ 发布作品与套餐 → 开始接单。</w:t>
      </w:r>
    </w:p>
    <w:p w14:paraId="2ADD9577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6.3 售后与保障流程</w:t>
      </w:r>
    </w:p>
    <w:p w14:paraId="71912324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需求方申请退款或投诉 → 平台介入 → 判定责任类型（爽约 / 质量不符 / 描述不一致 / 其他）→ 按裁定执行资金处理（全额退回 / 部分结算 / 全额结算）→ 结果留档并计入信用记录。</w:t>
      </w:r>
    </w:p>
    <w:p w14:paraId="01A3ABA9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七、产品原型说明</w:t>
      </w:r>
    </w:p>
    <w:p w14:paraId="11DA7259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7.1 原型概况</w:t>
      </w:r>
    </w:p>
    <w:p w14:paraId="4FE3AE54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原型为单文件 HTML5 应用，使用 CSS3 与原生 JavaScript 手写，无任何外部依赖，可在浏览器中直接打开体验。共 13 屏，覆盖用户端与摄影师端。</w:t>
      </w:r>
    </w:p>
    <w:p w14:paraId="64257DCB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7.2 页面清单与交互说明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6FF81170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序号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5695812E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页面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7FFE48FD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所属端</w:t>
            </w:r>
          </w:p>
        </w:tc>
        <w:tc>
          <w:tcPr>
            <w:tcW w:w="2076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222F329A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关键交互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CE5B9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EFFB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首页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C8731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BBCD5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大图标题区、搜索入口、拍摄类型筛选、作品瀑布流，点击作品进入摄影师主页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834D59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2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4AE0F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找摄影师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6D57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A75C0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筛选条、摄影师列表，展示认证标识、城市、风格、评分、成交单数与起价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D8FE0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3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5825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摄影师主页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359C1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2C8B4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作品 / 套餐 / 评价三个 Tab；底部固定价格与"立即预约"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F10AB1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4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5822E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确认订单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76A822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24DD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套餐信息、时间、地点、联系人、备注；托管说明卡片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C87F1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5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DDF77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收银台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254C2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CBDCD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金额、支付方式选择、担保交易说明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EC7EC0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6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5CCE7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我的订单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71003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FE939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全部 / 待接单 / 待服务 / 已完成四个 Tab，支持取消、联系、评价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DE6395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7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B104B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消息列表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8152E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2345B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会话列表、未读标识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4BF9C6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8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7399C7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会话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6A217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EDAF6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气泡对话、输入框、可发送消息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110FB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9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CE8FF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我的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E7473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110E9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实名标识、订单与收藏统计、功能入口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01B53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10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3DBDE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工作台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6CC25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3DCC61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今日概览、四项核心指标、待接单卡片（可接单 / 拒单）、待结算提醒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11722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11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58D53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作品管理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87A809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2E3C9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九宫格作品、曝光数据、过审状态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C8351B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12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81A63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收入中心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4A875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DD36AC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可提现余额、本月收入、待结算、收支明细、佣金说明</w:t>
            </w:r>
          </w:p>
        </w:tc>
      </w:tr>
      <w:tr>
        <w:trPr/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B13C7C">
            <w:pPr>
              <w:rPr>
                <w:color w:val="1a1a1a"/>
              </w:rPr>
            </w:pPr>
            <w:r>
              <w:rPr>
                <w:rFonts w:ascii="Microsoft YaHei" w:hAnsi="Microsoft YaHei" w:eastAsia="Microsoft YaHei" w:cs="Microsoft YaHei"/>
                <w:color w:val="1a1a1a"/>
                <w:sz w:val="18"/>
              </w:rPr>
              <w:t>13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78491B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数据看板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06A2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摄影师端</w:t>
            </w:r>
          </w:p>
        </w:tc>
        <w:tc>
          <w:tcPr>
            <w:tcW w:w="2076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74AB2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四项指标、每日咨询量柱状图、曝光到下单的转化漏斗</w:t>
            </w:r>
          </w:p>
        </w:tc>
      </w:tr>
    </w:tbl>
    <w:p w14:paraId="3E02A332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7.3 已实现的业务闭环</w:t>
      </w:r>
    </w:p>
    <w:p w14:paraId="24136144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原型可完整走通一条交易链路：作品 → 摄影师主页 → 套餐 → 下单 → 托管支付 → 订单回写为“待接单” → 切换至摄影师端接单或拒单 → 查看收入与数据。消息页支持真实发送文本。筛选、确认与异常分支同样为真实逻辑而非提示文案：首页按拍摄类型筛选作品并回显结果数，搜索页按城市、风格、价格区间、评分筛选摄影师；拒单前弹出二次确认并说明后果；收银台在余额不足时中断支付并给出更换支付方式的恢复路径；各页返回均回退至上一级。</w:t>
      </w:r>
    </w:p>
    <w:p w14:paraId="3CB84B30">
      <w:pPr>
        <w:pStyle w:val="000004"/>
        <w:keepNext w:val="1"/>
        <w:keepLines w:val="1"/>
        <w:spacing w:before="240" w:beforeAutospacing="1" w:after="120" w:afterAutospacing="1" w:line="420"/>
        <w:outlineLvl w:val="2"/>
        <w:rPr>
          <w:color w:val="3b3d45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3b3d45"/>
          <w:sz w:val="23"/>
        </w:rPr>
        <w:t>7.4 原型边界</w:t>
      </w:r>
    </w:p>
    <w:p w14:paraId="25AD24B6">
      <w:pPr>
        <w:spacing w:before="120" w:after="120" w:line="420"/>
        <w:ind w:left="120" w:right="120"/>
        <w:jc w:val="both"/>
        <w:rPr>
          <w:color w:val="1a1a1a"/>
        </w:rPr>
      </w:pPr>
      <w:r>
        <w:rPr>
          <w:rFonts w:hint="eastAsia" w:ascii="Microsoft YaHei" w:hAnsi="Microsoft YaHei" w:eastAsia="Microsoft YaHei" w:cs="Microsoft YaHei"/>
          <w:color w:val="1a1a1a"/>
          <w:sz w:val="21"/>
        </w:rPr>
        <w:t>平台端管理后台以 PRD 的功能描述与状态机定义为准；支付、退款、结算按状态机在原型内完整流转，覆盖支付成功、余额不足中断与退款回退三类分支。</w:t>
      </w:r>
    </w:p>
    <w:p w14:paraId="35CAEF48">
      <w:pPr>
        <w:pStyle w:val="000003"/>
        <w:keepNext w:val="1"/>
        <w:keepLines w:val="1"/>
        <w:pBdr>
          <w:left w:val="single" w:color="c08b4e" w:sz="32" w:space="8"/>
        </w:pBdr>
        <w:spacing w:before="320" w:beforeAutospacing="1" w:after="160" w:afterAutospacing="1" w:line="420"/>
        <w:outlineLvl w:val="1"/>
        <w:rPr>
          <w:color w:val="15161a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5161a"/>
          <w:sz w:val="28"/>
        </w:rPr>
        <w:t>八、PRD 索引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CEA0F4E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章节</w:t>
            </w:r>
          </w:p>
        </w:tc>
        <w:tc>
          <w:tcPr>
            <w:tcW w:w="4153" w:type="dxa"/>
            <w:tcBorders>
              <w:top w:val="single" w:color="d9cbb4" w:sz="4"/>
              <w:left w:val="single" w:color="d9cbb4" w:sz="4"/>
              <w:bottom w:val="single" w:color="d9cbb4" w:sz="4"/>
              <w:right w:val="single" w:color="d9cbb4" w:sz="4"/>
            </w:tcBorders>
            <w:shd w:val="clear" w:fill="f4eadb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B03AFCC">
            <w:pPr>
              <w:jc w:val="left"/>
              <w:rPr>
                <w:b w:val="1"/>
                <w:bCs w:val="1"/>
                <w:color w:val="5c421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5c421f"/>
                <w:sz w:val="18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232FC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一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38751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产品概述：背景、定位、V1.0 范围、名词解释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14C50E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二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D8729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用户与角色：角色定义与权限矩阵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BCDCEA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三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4AEA4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核心业务流程：状态机、入驻流程、售后流程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6A084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四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91713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功能需求：三端共 22 项，含编号、优先级、异常与恢复、验收标准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B6A508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五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F0D764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非功能需求：性能、安全、合规、可用性、可扩展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D56726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六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838D5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数据埋点与指标体系：三层指标、北极星指标、关键埋点事件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A36D55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七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58DB8D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版本规划：V1.0 / V1.x / V2.0</w:t>
            </w:r>
          </w:p>
        </w:tc>
      </w:tr>
      <w:tr>
        <w:trPr/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7C3B83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八</w:t>
            </w:r>
          </w:p>
        </w:tc>
        <w:tc>
          <w:tcPr>
            <w:tcW w:w="4153" w:type="dxa"/>
            <w:tcBorders>
              <w:top w:val="single" w:color="e0d8c9" w:sz="4"/>
              <w:left w:val="single" w:color="e0d8c9" w:sz="4"/>
              <w:bottom w:val="single" w:color="e0d8c9" w:sz="4"/>
              <w:right w:val="single" w:color="e0d8c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4FACF0">
            <w:pPr>
              <w:rPr>
                <w:color w:val="1a1a1a"/>
              </w:rPr>
            </w:pPr>
            <w:r>
              <w:rPr>
                <w:rFonts w:hint="eastAsia" w:ascii="Microsoft YaHei" w:hAnsi="Microsoft YaHei" w:eastAsia="Microsoft YaHei" w:cs="Microsoft YaHei"/>
                <w:color w:val="1a1a1a"/>
                <w:sz w:val="18"/>
              </w:rPr>
              <w:t>风险与应对</w:t>
            </w:r>
          </w:p>
        </w:tc>
      </w:tr>
    </w:tbl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"/>
  </w:num>
  <w:num w:numId="3">
    <w:abstractNumId w:val="0"/>
  </w:num>
  <w:num w:numId="1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Indent" w:semiHidden="1" w:unhideWhenUsed="1"/>
    <w:lsdException w:name="List Bullet 4" w:semiHidden="1" w:unhideWhenUsed="1"/>
    <w:lsdException w:name="Default Paragraph Font" w:uiPriority="1" w:semiHidden="1" w:unhideWhenUsed="1"/>
    <w:lsdException w:name="toc 2" w:uiPriority="39" w:semiHidden="1" w:unhideWhenUsed="1"/>
    <w:lsdException w:name="heading 2" w:uiPriority="9" w:semiHidden="1" w:unhideWhenUsed="1" w:qFormat="1"/>
    <w:lsdException w:name="table of authorities" w:semiHidden="1" w:unhideWhenUsed="1"/>
    <w:lsdException w:name="List 4" w:semiHidden="1" w:unhideWhenUsed="1"/>
    <w:lsdException w:name="caption" w:uiPriority="35" w:semiHidden="1" w:unhideWhenUsed="1" w:qFormat="1"/>
    <w:lsdException w:name="Hyperlink" w:semiHidden="1" w:unhideWhenUsed="1"/>
    <w:lsdException w:name="footer" w:semiHidden="1" w:unhideWhenUsed="1"/>
    <w:lsdException w:name="List Number" w:semiHidden="1" w:unhideWhenUsed="1"/>
    <w:lsdException w:name="Body Text" w:semiHidden="1" w:unhideWhenUsed="1"/>
    <w:lsdException w:name="toc 6" w:uiPriority="39" w:semiHidden="1" w:unhideWhenUsed="1"/>
    <w:lsdException w:name="Message Header" w:semiHidden="1" w:unhideWhenUsed="1"/>
    <w:lsdException w:name="index 1" w:semiHidden="1" w:unhideWhenUsed="1"/>
    <w:lsdException w:name="toc 1" w:uiPriority="39" w:semiHidden="1" w:unhideWhenUsed="1"/>
    <w:lsdException w:name="index 2" w:semiHidden="1" w:unhideWhenUsed="1"/>
    <w:lsdException w:name="annotation reference" w:semiHidden="1" w:unhideWhenUsed="1"/>
    <w:lsdException w:name="annotation text" w:semiHidden="1" w:unhideWhenUsed="1"/>
    <w:lsdException w:name="footnote text" w:semiHidden="1" w:unhideWhenUsed="1"/>
    <w:lsdException w:name="envelope address" w:semiHidden="1" w:unhideWhenUsed="1"/>
    <w:lsdException w:name="toc 9" w:uiPriority="39" w:semiHidden="1" w:unhideWhenUsed="1"/>
    <w:lsdException w:name="Salutation" w:semiHidden="1" w:unhideWhenUsed="1"/>
    <w:lsdException w:name="line number" w:semiHidden="1" w:unhideWhenUsed="1"/>
    <w:lsdException w:name="heading 9" w:uiPriority="9" w:semiHidden="1" w:unhideWhenUsed="1" w:qFormat="1"/>
    <w:lsdException w:name="List Continue 5" w:semiHidden="1" w:unhideWhenUsed="1"/>
    <w:lsdException w:name="index 9" w:semiHidden="1" w:unhideWhenUsed="1"/>
    <w:lsdException w:name="Closing" w:semiHidden="1" w:unhideWhenUsed="1"/>
    <w:lsdException w:name="List Bullet" w:semiHidden="1" w:unhideWhenUsed="1"/>
    <w:lsdException w:name="List Bullet 2" w:semiHidden="1" w:unhideWhenUsed="1"/>
    <w:lsdException w:name="endnote text" w:semiHidden="1" w:unhideWhenUsed="1"/>
    <w:lsdException w:name="heading 6" w:uiPriority="9" w:semiHidden="1" w:unhideWhenUsed="1" w:qFormat="1"/>
    <w:lsdException w:name="Signature" w:semiHidden="1" w:unhideWhenUsed="1"/>
    <w:lsdException w:name="toc 4" w:uiPriority="39" w:semiHidden="1" w:unhideWhenUsed="1"/>
    <w:lsdException w:name="heading 4" w:uiPriority="9" w:semiHidden="1" w:unhideWhenUsed="1" w:qFormat="1"/>
    <w:lsdException w:name="Body Text First Indent" w:semiHidden="1" w:unhideWhenUsed="1"/>
    <w:lsdException w:name="List Continue 3" w:semiHidden="1" w:unhideWhenUsed="1"/>
    <w:lsdException w:name="Normal" w:uiPriority="0" w:qFormat="1"/>
    <w:lsdException w:name="index 7" w:semiHidden="1" w:unhideWhenUsed="1"/>
    <w:lsdException w:name="Body Text Indent 2" w:semiHidden="1" w:unhideWhenUsed="1"/>
    <w:lsdException w:name="Date" w:semiHidden="1" w:unhideWhenUsed="1"/>
    <w:lsdException w:name="macro" w:semiHidden="1" w:unhideWhenUsed="1"/>
    <w:lsdException w:name="heading 8" w:uiPriority="9" w:semiHidden="1" w:unhideWhenUsed="1" w:qFormat="1"/>
    <w:lsdException w:name="heading 1" w:uiPriority="9" w:qFormat="1"/>
    <w:lsdException w:name="List 2" w:semiHidden="1" w:unhideWhenUsed="1"/>
    <w:lsdException w:name="List Number 5" w:semiHidden="1" w:unhideWhenUsed="1"/>
    <w:lsdException w:name="Title" w:uiPriority="10" w:qFormat="1"/>
    <w:lsdException w:name="Body Text 3" w:semiHidden="1" w:unhideWhenUsed="1"/>
    <w:lsdException w:name="List Bullet 5" w:semiHidden="1" w:unhideWhenUsed="1"/>
    <w:lsdException w:name="List Number 4" w:semiHidden="1" w:unhideWhenUsed="1"/>
    <w:lsdException w:name="table of figures" w:semiHidden="1" w:unhideWhenUsed="1"/>
    <w:lsdException w:name="toa heading" w:semiHidden="1" w:unhideWhenUsed="1"/>
    <w:lsdException w:name="footnote reference" w:semiHidden="1" w:unhideWhenUsed="1"/>
    <w:lsdException w:name="heading 3" w:uiPriority="9" w:semiHidden="1" w:unhideWhenUsed="1" w:qFormat="1"/>
    <w:lsdException w:name="List Continue" w:semiHidden="1" w:unhideWhenUsed="1"/>
    <w:lsdException w:name="List 5" w:semiHidden="1" w:unhideWhenUsed="1"/>
    <w:lsdException w:name="page number" w:semiHidden="1" w:unhideWhenUsed="1"/>
    <w:lsdException w:name="List Number 3" w:semiHidden="1" w:unhideWhenUsed="1"/>
    <w:lsdException w:name="Subtitle" w:uiPriority="11" w:qFormat="1"/>
    <w:lsdException w:name="Body Text First Indent 2" w:semiHidden="1" w:unhideWhenUsed="1"/>
    <w:lsdException w:name="index 5" w:semiHidden="1" w:unhideWhenUsed="1"/>
    <w:lsdException w:name="toc 7" w:uiPriority="39" w:semiHidden="1" w:unhideWhenUsed="1"/>
    <w:lsdException w:name="heading 7" w:uiPriority="9" w:semiHidden="1" w:unhideWhenUsed="1" w:qFormat="1"/>
    <w:lsdException w:name="toc 8" w:uiPriority="39" w:semiHidden="1" w:unhideWhenUsed="1"/>
    <w:lsdException w:name="envelope return" w:semiHidden="1" w:unhideWhenUsed="1"/>
    <w:lsdException w:name="List Continue 4" w:semiHidden="1" w:unhideWhenUsed="1"/>
    <w:lsdException w:name="List Continue 2" w:semiHidden="1" w:unhideWhenUsed="1"/>
    <w:lsdException w:name="Normal Indent" w:semiHidden="1" w:unhideWhenUsed="1"/>
    <w:lsdException w:name="index 3" w:semiHidden="1" w:unhideWhenUsed="1"/>
    <w:lsdException w:name="List Bullet 3" w:semiHidden="1" w:unhideWhenUsed="1"/>
    <w:lsdException w:name="index 8" w:semiHidden="1" w:unhideWhenUsed="1"/>
    <w:lsdException w:name="toc 5" w:uiPriority="39" w:semiHidden="1" w:unhideWhenUsed="1"/>
    <w:lsdException w:name="heading 5" w:uiPriority="9" w:semiHidden="1" w:unhideWhenUsed="1" w:qFormat="1"/>
    <w:lsdException w:name="FollowedHyperlink" w:semiHidden="1" w:unhideWhenUsed="1"/>
    <w:lsdException w:name="toc 3" w:uiPriority="39" w:semiHidden="1" w:unhideWhenUsed="1"/>
    <w:lsdException w:name="List 3" w:semiHidden="1" w:unhideWhenUsed="1"/>
    <w:lsdException w:name="index 4" w:semiHidden="1" w:unhideWhenUsed="1"/>
    <w:lsdException w:name="header" w:semiHidden="1" w:unhideWhenUsed="1"/>
    <w:lsdException w:name="Strong" w:uiPriority="22" w:qFormat="1"/>
    <w:lsdException w:name="Note Heading" w:semiHidden="1" w:unhideWhenUsed="1"/>
    <w:lsdException w:name="index 6" w:semiHidden="1" w:unhideWhenUsed="1"/>
    <w:lsdException w:name="List" w:semiHidden="1" w:unhideWhenUsed="1"/>
    <w:lsdException w:name="index heading" w:semiHidden="1" w:unhideWhenUsed="1"/>
    <w:lsdException w:name="Body Text Indent 3" w:semiHidden="1" w:unhideWhenUsed="1"/>
    <w:lsdException w:name="Block Text" w:semiHidden="1" w:unhideWhenUsed="1"/>
    <w:lsdException w:name="Body Text 2" w:semiHidden="1" w:unhideWhenUsed="1"/>
    <w:lsdException w:name="List Number 2" w:semiHidden="1" w:unhideWhenUsed="1"/>
    <w:lsdException w:name="endnote reference" w:semiHidden="1" w:unhideWhenUsed="1"/>
  </w:latentStyles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2026-10-22T14:12:29Z</dcterms:created>
  <dcterms:modified xsi:type="dcterms:W3CDTF">2026-10-22T14:12:29Z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"01a16238d07877cca9a3e1179f935384", "ReservedCode1": "", "ContentPropagator": "00119111010856365494821B355", "PropagateID": "01a16238d07877cca9a3e1179f935384", "ReservedCode2": ""}}</vt:lpwstr>
  </property>
</Properties>
</file>