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Times New Roman" w:hAnsi="Times New Roman"/>
          <w:b/>
          <w:sz w:val="24"/>
        </w:rPr>
        <w:t>Table 2. Primary model and prespecified sensitivity analyses</w:t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Main effect and sensitivity analyses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rPr>
          <w:tblHeader w:val="true"/>
        </w:trPr>
        <w:tc>
          <w:tcPr>
            <w:tcW w:type="dxa" w:w="1368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Section</w:t>
            </w:r>
          </w:p>
        </w:tc>
        <w:tc>
          <w:tcPr>
            <w:tcW w:type="dxa" w:w="2951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Analysis</w:t>
            </w:r>
          </w:p>
        </w:tc>
        <w:tc>
          <w:tcPr>
            <w:tcW w:type="dxa" w:w="1224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eICU model set</w:t>
            </w:r>
          </w:p>
        </w:tc>
        <w:tc>
          <w:tcPr>
            <w:tcW w:type="dxa" w:w="1655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Effect estimate</w:t>
            </w:r>
          </w:p>
        </w:tc>
        <w:tc>
          <w:tcPr>
            <w:tcW w:type="dxa" w:w="864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P value</w:t>
            </w:r>
          </w:p>
        </w:tc>
        <w:tc>
          <w:tcPr>
            <w:tcW w:type="dxa" w:w="1007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MIMIC-IV C-index</w:t>
            </w:r>
          </w:p>
        </w:tc>
        <w:tc>
          <w:tcPr>
            <w:tcW w:type="dxa" w:w="118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MIMIC-IV calibration slope</w:t>
            </w:r>
          </w:p>
        </w:tc>
        <w:tc>
          <w:tcPr>
            <w:tcW w:type="dxa" w:w="1180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MIMIC-IV calibration intercept</w:t>
            </w:r>
          </w:p>
        </w:tc>
        <w:tc>
          <w:tcPr>
            <w:tcW w:type="dxa" w:w="1944"/>
            <w:shd w:fill="F2F4F7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Note</w:t>
            </w:r>
          </w:p>
        </w:tc>
      </w:tr>
      <w:tr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</w:t>
            </w:r>
          </w:p>
        </w:tc>
        <w:tc>
          <w:tcPr>
            <w:tcW w:type="dxa" w:w="29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ICU death; MAP &lt;65 hypotension burden, per eICU SD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775/158</w:t>
            </w:r>
          </w:p>
        </w:tc>
        <w:tc>
          <w:tcPr>
            <w:tcW w:type="dxa" w:w="165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1.350 (1.120-1.629)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0.002</w:t>
            </w:r>
          </w:p>
        </w:tc>
        <w:tc>
          <w:tcPr>
            <w:tcW w:type="dxa" w:w="10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0.729</w:t>
            </w:r>
          </w:p>
        </w:tc>
        <w:tc>
          <w:tcPr>
            <w:tcW w:type="dxa" w:w="11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0.687</w:t>
            </w:r>
          </w:p>
        </w:tc>
        <w:tc>
          <w:tcPr>
            <w:tcW w:type="dxa" w:w="11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-0.649</w:t>
            </w:r>
          </w:p>
        </w:tc>
        <w:tc>
          <w:tcPr>
            <w:tcW w:type="dxa" w:w="194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Locked main-effect logistic model.</w:t>
            </w:r>
          </w:p>
        </w:tc>
      </w:tr>
      <w:tr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Sensitivity</w:t>
            </w:r>
          </w:p>
        </w:tc>
        <w:tc>
          <w:tcPr>
            <w:tcW w:type="dxa" w:w="29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Hospital death; MAP &lt;65 hypotension burden, per eICU SD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762/217</w:t>
            </w:r>
          </w:p>
        </w:tc>
        <w:tc>
          <w:tcPr>
            <w:tcW w:type="dxa" w:w="165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1.338 (1.107-1.618)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0.003</w:t>
            </w:r>
          </w:p>
        </w:tc>
        <w:tc>
          <w:tcPr>
            <w:tcW w:type="dxa" w:w="10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0.730</w:t>
            </w:r>
          </w:p>
        </w:tc>
        <w:tc>
          <w:tcPr>
            <w:tcW w:type="dxa" w:w="11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0.905</w:t>
            </w:r>
          </w:p>
        </w:tc>
        <w:tc>
          <w:tcPr>
            <w:tcW w:type="dxa" w:w="11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-0.022</w:t>
            </w:r>
          </w:p>
        </w:tc>
        <w:tc>
          <w:tcPr>
            <w:tcW w:type="dxa" w:w="194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Alternative outcome.</w:t>
            </w:r>
          </w:p>
        </w:tc>
      </w:tr>
      <w:tr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Sensitivity</w:t>
            </w:r>
          </w:p>
        </w:tc>
        <w:tc>
          <w:tcPr>
            <w:tcW w:type="dxa" w:w="29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ICU death; MAP &lt;60 hypotension burden, per eICU SD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775/158</w:t>
            </w:r>
          </w:p>
        </w:tc>
        <w:tc>
          <w:tcPr>
            <w:tcW w:type="dxa" w:w="165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1.383 (1.120-1.707)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0.003</w:t>
            </w:r>
          </w:p>
        </w:tc>
        <w:tc>
          <w:tcPr>
            <w:tcW w:type="dxa" w:w="10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0.740</w:t>
            </w:r>
          </w:p>
        </w:tc>
        <w:tc>
          <w:tcPr>
            <w:tcW w:type="dxa" w:w="11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0.681</w:t>
            </w:r>
          </w:p>
        </w:tc>
        <w:tc>
          <w:tcPr>
            <w:tcW w:type="dxa" w:w="11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-0.679</w:t>
            </w:r>
          </w:p>
        </w:tc>
        <w:tc>
          <w:tcPr>
            <w:tcW w:type="dxa" w:w="194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Alternative MAP threshold.</w:t>
            </w:r>
          </w:p>
        </w:tc>
      </w:tr>
      <w:tr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Sensitivity</w:t>
            </w:r>
          </w:p>
        </w:tc>
        <w:tc>
          <w:tcPr>
            <w:tcW w:type="dxa" w:w="29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ICU death; 99th-percentile winsorized MAP &lt;65 burden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775/158</w:t>
            </w:r>
          </w:p>
        </w:tc>
        <w:tc>
          <w:tcPr>
            <w:tcW w:type="dxa" w:w="165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1.400 (1.185-1.655)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&lt;0.001</w:t>
            </w:r>
          </w:p>
        </w:tc>
        <w:tc>
          <w:tcPr>
            <w:tcW w:type="dxa" w:w="10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0.734</w:t>
            </w:r>
          </w:p>
        </w:tc>
        <w:tc>
          <w:tcPr>
            <w:tcW w:type="dxa" w:w="11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0.729</w:t>
            </w:r>
          </w:p>
        </w:tc>
        <w:tc>
          <w:tcPr>
            <w:tcW w:type="dxa" w:w="11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-0.570</w:t>
            </w:r>
          </w:p>
        </w:tc>
        <w:tc>
          <w:tcPr>
            <w:tcW w:type="dxa" w:w="194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eICU P99 cap = 5.2247.</w:t>
            </w:r>
          </w:p>
        </w:tc>
      </w:tr>
      <w:tr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Secondary hypoxemia</w:t>
            </w:r>
          </w:p>
        </w:tc>
        <w:tc>
          <w:tcPr>
            <w:tcW w:type="dxa" w:w="29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Hypoxemia burden main effect, per eICU SD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775/158</w:t>
            </w:r>
          </w:p>
        </w:tc>
        <w:tc>
          <w:tcPr>
            <w:tcW w:type="dxa" w:w="165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1.156 (0.959-1.393)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0.129</w:t>
            </w:r>
          </w:p>
        </w:tc>
        <w:tc>
          <w:tcPr>
            <w:tcW w:type="dxa" w:w="10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0.729</w:t>
            </w:r>
          </w:p>
        </w:tc>
        <w:tc>
          <w:tcPr>
            <w:tcW w:type="dxa" w:w="11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0.687</w:t>
            </w:r>
          </w:p>
        </w:tc>
        <w:tc>
          <w:tcPr>
            <w:tcW w:type="dxa" w:w="11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-0.649</w:t>
            </w:r>
          </w:p>
        </w:tc>
        <w:tc>
          <w:tcPr>
            <w:tcW w:type="dxa" w:w="194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Prespecified common exposure; sparse zero-inflated burden.</w:t>
            </w:r>
          </w:p>
        </w:tc>
      </w:tr>
      <w:tr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Secondary hypoxemia</w:t>
            </w:r>
          </w:p>
        </w:tc>
        <w:tc>
          <w:tcPr>
            <w:tcW w:type="dxa" w:w="295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Continuous hypotension x hypoxemia interaction</w:t>
            </w:r>
          </w:p>
        </w:tc>
        <w:tc>
          <w:tcPr>
            <w:tcW w:type="dxa" w:w="12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775/158</w:t>
            </w:r>
          </w:p>
        </w:tc>
        <w:tc>
          <w:tcPr>
            <w:tcW w:type="dxa" w:w="165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0.876 (0.620-1.238)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0.453</w:t>
            </w:r>
          </w:p>
        </w:tc>
        <w:tc>
          <w:tcPr>
            <w:tcW w:type="dxa" w:w="10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0.727</w:t>
            </w:r>
          </w:p>
        </w:tc>
        <w:tc>
          <w:tcPr>
            <w:tcW w:type="dxa" w:w="11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0.472</w:t>
            </w:r>
          </w:p>
        </w:tc>
        <w:tc>
          <w:tcPr>
            <w:tcW w:type="dxa" w:w="11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-1.011</w:t>
            </w:r>
          </w:p>
        </w:tc>
        <w:tc>
          <w:tcPr>
            <w:tcW w:type="dxa" w:w="194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LR P = 0.421.</w:t>
            </w:r>
          </w:p>
        </w:tc>
      </w:tr>
      <w:tr>
        <w:tc>
          <w:tcPr>
            <w:tcW w:type="dxa" w:w="136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Secondary hypoxemia</w:t>
            </w:r>
          </w:p>
        </w:tc>
        <w:tc>
          <w:tcPr>
            <w:tcW w:type="dxa" w:w="2951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Hypotension x any hypoxemia-burden interaction</w:t>
            </w:r>
          </w:p>
        </w:tc>
        <w:tc>
          <w:tcPr>
            <w:tcW w:type="dxa" w:w="122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775/158</w:t>
            </w:r>
          </w:p>
        </w:tc>
        <w:tc>
          <w:tcPr>
            <w:tcW w:type="dxa" w:w="1655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0.964 (0.661-1.405)</w:t>
            </w:r>
          </w:p>
        </w:tc>
        <w:tc>
          <w:tcPr>
            <w:tcW w:type="dxa" w:w="86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0.847</w:t>
            </w:r>
          </w:p>
        </w:tc>
        <w:tc>
          <w:tcPr>
            <w:tcW w:type="dxa" w:w="1007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0.723</w:t>
            </w:r>
          </w:p>
        </w:tc>
        <w:tc>
          <w:tcPr>
            <w:tcW w:type="dxa" w:w="118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0.882</w:t>
            </w:r>
          </w:p>
        </w:tc>
        <w:tc>
          <w:tcPr>
            <w:tcW w:type="dxa" w:w="118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-0.326</w:t>
            </w:r>
          </w:p>
        </w:tc>
        <w:tc>
          <w:tcPr>
            <w:tcW w:type="dxa" w:w="194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LR P = 0.848.</w:t>
            </w:r>
          </w:p>
        </w:tc>
      </w:tr>
    </w:tbl>
    <w:p>
      <w:pPr>
        <w:spacing w:before="80" w:after="160"/>
      </w:pPr>
      <w:r>
        <w:rPr>
          <w:rFonts w:ascii="Times New Roman" w:hAnsi="Times New Roman"/>
          <w:sz w:val="17"/>
        </w:rPr>
        <w:t>Note: Effect estimates are odds ratios per eICU SD unless otherwise stated. Models were fit in eICU and externally evaluated in MIMIC-IV using locked eICU coefficients. RCS analyses are reported in the supplement because nonlinearity attenuated after 99th-percentile winsorization.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