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93C1E" w14:textId="02B9AFF6" w:rsidR="00010702" w:rsidRPr="00010702" w:rsidRDefault="00010702" w:rsidP="00010702">
      <w:pPr>
        <w:pStyle w:val="ac"/>
        <w:rPr>
          <w:rFonts w:ascii="Times New Roman" w:hAnsi="Times New Roman" w:cs="Times New Roman"/>
          <w:b/>
          <w:bCs/>
          <w:color w:val="4472C4" w:themeColor="accent1"/>
          <w:sz w:val="36"/>
          <w:szCs w:val="36"/>
        </w:rPr>
      </w:pPr>
      <w:r w:rsidRPr="00010702">
        <w:rPr>
          <w:rFonts w:ascii="Times New Roman" w:hAnsi="Times New Roman" w:cs="Times New Roman"/>
          <w:b/>
          <w:bCs/>
          <w:color w:val="4472C4" w:themeColor="accent1"/>
          <w:sz w:val="36"/>
          <w:szCs w:val="36"/>
        </w:rPr>
        <w:t>Should You Really Buy Bitcoin the Same Way Every Day?</w:t>
      </w:r>
    </w:p>
    <w:p w14:paraId="46E73FBC" w14:textId="77777777" w:rsidR="00D95AEB" w:rsidRPr="00D95AEB" w:rsidRDefault="00D95AEB" w:rsidP="00D95AEB">
      <w:pPr>
        <w:pStyle w:val="ac"/>
        <w:rPr>
          <w:rFonts w:ascii="Times New Roman" w:hAnsi="Times New Roman" w:cs="Times New Roman"/>
        </w:rPr>
      </w:pPr>
      <w:r w:rsidRPr="00D95AEB">
        <w:rPr>
          <w:rFonts w:ascii="Times New Roman" w:hAnsi="Times New Roman" w:cs="Times New Roman"/>
        </w:rPr>
        <w:t>Before starting this project, I had always assumed that the safest way to participate in Bitcoin was probably dollar-cost averaging.</w:t>
      </w:r>
    </w:p>
    <w:p w14:paraId="3084DE7F" w14:textId="77777777" w:rsidR="00D95AEB" w:rsidRPr="00D95AEB" w:rsidRDefault="00D95AEB" w:rsidP="00D95AEB">
      <w:pPr>
        <w:pStyle w:val="ac"/>
        <w:rPr>
          <w:rFonts w:ascii="Times New Roman" w:hAnsi="Times New Roman" w:cs="Times New Roman"/>
        </w:rPr>
      </w:pPr>
      <w:r w:rsidRPr="00D95AEB">
        <w:rPr>
          <w:rFonts w:ascii="Times New Roman" w:hAnsi="Times New Roman" w:cs="Times New Roman"/>
        </w:rPr>
        <w:t>It is simple, easy to stick with, and helps people avoid emotional decisions and the stress of market timing. But over time, I found myself coming back to one question:</w:t>
      </w:r>
    </w:p>
    <w:p w14:paraId="745887C0" w14:textId="77777777" w:rsidR="00D95AEB" w:rsidRPr="00D95AEB" w:rsidRDefault="00D95AEB" w:rsidP="00D95AEB">
      <w:pPr>
        <w:pStyle w:val="ac"/>
        <w:rPr>
          <w:rFonts w:ascii="Times New Roman" w:hAnsi="Times New Roman" w:cs="Times New Roman"/>
        </w:rPr>
      </w:pPr>
      <w:r w:rsidRPr="00D95AEB">
        <w:rPr>
          <w:rStyle w:val="ad"/>
          <w:rFonts w:ascii="Times New Roman" w:hAnsi="Times New Roman" w:cs="Times New Roman"/>
        </w:rPr>
        <w:t>Are all days really equally worth buying?</w:t>
      </w:r>
    </w:p>
    <w:p w14:paraId="035CB3E2" w14:textId="77777777" w:rsidR="00D95AEB" w:rsidRPr="00D95AEB" w:rsidRDefault="00D95AEB" w:rsidP="00D95AEB">
      <w:pPr>
        <w:pStyle w:val="ac"/>
        <w:rPr>
          <w:rFonts w:ascii="Times New Roman" w:hAnsi="Times New Roman" w:cs="Times New Roman"/>
        </w:rPr>
      </w:pPr>
      <w:r w:rsidRPr="00D95AEB">
        <w:rPr>
          <w:rFonts w:ascii="Times New Roman" w:hAnsi="Times New Roman" w:cs="Times New Roman"/>
        </w:rPr>
        <w:t>If DCA works mainly because Bitcoin trends upward over the long run, then uniform buying may not actually be the best answer.</w:t>
      </w:r>
    </w:p>
    <w:p w14:paraId="53667D46" w14:textId="2ED12F6C" w:rsidR="00010702" w:rsidRPr="00420428" w:rsidRDefault="00D95AEB" w:rsidP="00135155">
      <w:pPr>
        <w:pStyle w:val="ac"/>
        <w:rPr>
          <w:rFonts w:ascii="Times New Roman" w:hAnsi="Times New Roman" w:cs="Times New Roman"/>
        </w:rPr>
      </w:pPr>
      <w:r w:rsidRPr="00D95AEB">
        <w:rPr>
          <w:rFonts w:ascii="Times New Roman" w:hAnsi="Times New Roman" w:cs="Times New Roman"/>
        </w:rPr>
        <w:t xml:space="preserve">That was the question my teammate </w:t>
      </w:r>
      <w:proofErr w:type="spellStart"/>
      <w:r w:rsidRPr="00D95AEB">
        <w:rPr>
          <w:rFonts w:ascii="Times New Roman" w:hAnsi="Times New Roman" w:cs="Times New Roman"/>
        </w:rPr>
        <w:t>Chenhao</w:t>
      </w:r>
      <w:proofErr w:type="spellEnd"/>
      <w:r w:rsidRPr="00D95AEB">
        <w:rPr>
          <w:rFonts w:ascii="Times New Roman" w:hAnsi="Times New Roman" w:cs="Times New Roman"/>
        </w:rPr>
        <w:t xml:space="preserve"> and I wanted to explore in this practicum: </w:t>
      </w:r>
      <w:r w:rsidRPr="00D95AEB">
        <w:rPr>
          <w:rStyle w:val="ad"/>
          <w:rFonts w:ascii="Times New Roman" w:hAnsi="Times New Roman" w:cs="Times New Roman"/>
        </w:rPr>
        <w:t>if the goal is not to predict price, but to improve the rhythm of long-term Bitcoin accumulation, c</w:t>
      </w:r>
      <w:r w:rsidRPr="00420428">
        <w:rPr>
          <w:rStyle w:val="ad"/>
          <w:rFonts w:ascii="Times New Roman" w:hAnsi="Times New Roman" w:cs="Times New Roman"/>
        </w:rPr>
        <w:t>an we do better than traditional DCA?</w:t>
      </w:r>
    </w:p>
    <w:p w14:paraId="1DE0D7B9" w14:textId="77777777" w:rsidR="00010702" w:rsidRPr="00420428" w:rsidRDefault="00010702" w:rsidP="00010702">
      <w:pPr>
        <w:pStyle w:val="2"/>
        <w:rPr>
          <w:rFonts w:ascii="Times New Roman" w:hAnsi="Times New Roman" w:cs="Times New Roman"/>
        </w:rPr>
      </w:pPr>
      <w:r w:rsidRPr="00420428">
        <w:rPr>
          <w:rFonts w:ascii="Times New Roman" w:hAnsi="Times New Roman" w:cs="Times New Roman"/>
        </w:rPr>
        <w:t>What matters is not “perfect prediction,” but smarter filtering</w:t>
      </w:r>
    </w:p>
    <w:p w14:paraId="2FF45C87" w14:textId="6F823D74" w:rsidR="00010702" w:rsidRPr="00420428" w:rsidRDefault="009A788D" w:rsidP="00010702">
      <w:pPr>
        <w:pStyle w:val="ac"/>
        <w:rPr>
          <w:rFonts w:ascii="Times New Roman" w:hAnsi="Times New Roman" w:cs="Times New Roman"/>
        </w:rPr>
      </w:pPr>
      <w:r w:rsidRPr="00420428">
        <w:rPr>
          <w:rFonts w:ascii="Times New Roman" w:hAnsi="Times New Roman" w:cs="Times New Roman"/>
        </w:rPr>
        <w:t xml:space="preserve">No model can reliably tell you where Bitcoin goes tomorrow. But that does not mean every day is equally attractive for accumulation. The real value, we found, lies in identifying which market environments offer better windows for long-term buying. </w:t>
      </w:r>
      <w:r w:rsidR="00010702" w:rsidRPr="00420428">
        <w:rPr>
          <w:rFonts w:ascii="Times New Roman" w:hAnsi="Times New Roman" w:cs="Times New Roman"/>
        </w:rPr>
        <w:t>From our analysis, four signal groups stood out.</w:t>
      </w:r>
    </w:p>
    <w:p w14:paraId="57FBDB99" w14:textId="644FD047" w:rsidR="00E42692" w:rsidRPr="00420428" w:rsidRDefault="00010702" w:rsidP="00E42692">
      <w:pPr>
        <w:pStyle w:val="3"/>
        <w:rPr>
          <w:rFonts w:ascii="Times New Roman" w:hAnsi="Times New Roman" w:cs="Times New Roman"/>
        </w:rPr>
      </w:pPr>
      <w:r w:rsidRPr="00420428">
        <w:rPr>
          <w:rFonts w:ascii="Times New Roman" w:hAnsi="Times New Roman" w:cs="Times New Roman"/>
        </w:rPr>
        <w:t>1) The strongest signal is still on-chain: undervaluation plus participation</w:t>
      </w:r>
    </w:p>
    <w:p w14:paraId="569D1C34" w14:textId="77777777" w:rsidR="00E42692" w:rsidRPr="00420428" w:rsidRDefault="00E42692" w:rsidP="00010702">
      <w:pPr>
        <w:pStyle w:val="ac"/>
        <w:rPr>
          <w:rFonts w:ascii="Times New Roman" w:hAnsi="Times New Roman" w:cs="Times New Roman"/>
        </w:rPr>
      </w:pPr>
      <w:r w:rsidRPr="00420428">
        <w:rPr>
          <w:rFonts w:ascii="Times New Roman" w:hAnsi="Times New Roman" w:cs="Times New Roman"/>
          <w:noProof/>
        </w:rPr>
        <w:drawing>
          <wp:inline distT="0" distB="0" distL="0" distR="0" wp14:anchorId="2A4CC24C" wp14:editId="1BD74E96">
            <wp:extent cx="4285753" cy="3022464"/>
            <wp:effectExtent l="0" t="0" r="0" b="0"/>
            <wp:docPr id="571010460" name="图片 2" descr="图表, 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10460" name="图片 2" descr="图表, 树状图&#10;&#10;描述已自动生成"/>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08190" cy="3038288"/>
                    </a:xfrm>
                    <a:prstGeom prst="rect">
                      <a:avLst/>
                    </a:prstGeom>
                  </pic:spPr>
                </pic:pic>
              </a:graphicData>
            </a:graphic>
          </wp:inline>
        </w:drawing>
      </w:r>
    </w:p>
    <w:p w14:paraId="730322B3" w14:textId="77777777" w:rsidR="00420428" w:rsidRPr="00420428" w:rsidRDefault="00420428" w:rsidP="00420428">
      <w:pPr>
        <w:pStyle w:val="ac"/>
        <w:rPr>
          <w:rFonts w:ascii="Times New Roman" w:hAnsi="Times New Roman" w:cs="Times New Roman"/>
        </w:rPr>
      </w:pPr>
      <w:r w:rsidRPr="00420428">
        <w:rPr>
          <w:rFonts w:ascii="Times New Roman" w:hAnsi="Times New Roman" w:cs="Times New Roman"/>
        </w:rPr>
        <w:lastRenderedPageBreak/>
        <w:t>If I had to keep only one core finding, it would be this: the best accumulation windows are usually not the moments of maximum panic, but periods when Bitcoin looks undervalued while network activity remains healthy.</w:t>
      </w:r>
    </w:p>
    <w:p w14:paraId="5A572F7A" w14:textId="77777777" w:rsidR="00420428" w:rsidRPr="00420428" w:rsidRDefault="00420428" w:rsidP="00420428">
      <w:pPr>
        <w:pStyle w:val="ac"/>
        <w:rPr>
          <w:rFonts w:ascii="Times New Roman" w:hAnsi="Times New Roman" w:cs="Times New Roman"/>
        </w:rPr>
      </w:pPr>
      <w:r w:rsidRPr="00420428">
        <w:rPr>
          <w:rFonts w:ascii="Times New Roman" w:hAnsi="Times New Roman" w:cs="Times New Roman"/>
        </w:rPr>
        <w:t>When trying to improve on uniform DCA, the most natural starting point is valuation. We used MVRV as the core anchor because it provides a useful way to identify when Bitcoin is relatively cheap compared with its realized on-chain cost basis. But valuation alone is not enough. Buying simply because price has fallen can easily turn into catching a falling knife. What matters is whether the network still shows signs of healthy participation.</w:t>
      </w:r>
    </w:p>
    <w:p w14:paraId="5DC53E4D" w14:textId="77777777" w:rsidR="00420428" w:rsidRPr="001402C6" w:rsidRDefault="00420428" w:rsidP="00420428">
      <w:pPr>
        <w:pStyle w:val="ac"/>
        <w:rPr>
          <w:rFonts w:ascii="Times New Roman" w:hAnsi="Times New Roman" w:cs="Times New Roman"/>
        </w:rPr>
      </w:pPr>
      <w:r w:rsidRPr="00420428">
        <w:rPr>
          <w:rFonts w:ascii="Times New Roman" w:hAnsi="Times New Roman" w:cs="Times New Roman"/>
        </w:rPr>
        <w:t xml:space="preserve">That is why the stronger signal came from combining undervaluation with activity-based confirmation. More specifically, when Bitcoin is in a relatively undervalued regime, exchange </w:t>
      </w:r>
      <w:proofErr w:type="spellStart"/>
      <w:r w:rsidRPr="00420428">
        <w:rPr>
          <w:rFonts w:ascii="Times New Roman" w:hAnsi="Times New Roman" w:cs="Times New Roman"/>
        </w:rPr>
        <w:t>netflows</w:t>
      </w:r>
      <w:proofErr w:type="spellEnd"/>
      <w:r w:rsidRPr="00420428">
        <w:rPr>
          <w:rFonts w:ascii="Times New Roman" w:hAnsi="Times New Roman" w:cs="Times New Roman"/>
        </w:rPr>
        <w:t xml:space="preserve"> are positive on the outflow side, and active addresses remain elevated, forward 30-day performance tends to be stronger. In pra</w:t>
      </w:r>
      <w:r w:rsidRPr="001402C6">
        <w:rPr>
          <w:rFonts w:ascii="Times New Roman" w:hAnsi="Times New Roman" w:cs="Times New Roman"/>
        </w:rPr>
        <w:t>ctice, this worked as a kind of active churn signal: Bitcoin looked cheap, coins were leaving exchanges, and network usage had not collapsed.</w:t>
      </w:r>
    </w:p>
    <w:p w14:paraId="72F3E7C9" w14:textId="77777777" w:rsidR="00420428" w:rsidRPr="001402C6" w:rsidRDefault="00420428" w:rsidP="00420428">
      <w:pPr>
        <w:pStyle w:val="ac"/>
        <w:rPr>
          <w:rFonts w:ascii="Times New Roman" w:hAnsi="Times New Roman" w:cs="Times New Roman"/>
        </w:rPr>
      </w:pPr>
      <w:r w:rsidRPr="001402C6">
        <w:rPr>
          <w:rFonts w:ascii="Times New Roman" w:hAnsi="Times New Roman" w:cs="Times New Roman"/>
        </w:rPr>
        <w:t>This is not quite the same as the common intuition that the best time to buy is simply when fear is most extreme. What the data suggests instead is a healthier kind of accumulation regime: price is not expensive, coins are leaving exchanges, and network participation remains resilient. It is less dramatic than buying the absolute bottom, but it may be more stable and more repeatable.</w:t>
      </w:r>
    </w:p>
    <w:p w14:paraId="2C1818A1" w14:textId="77777777" w:rsidR="00010702" w:rsidRPr="001402C6" w:rsidRDefault="00010702" w:rsidP="00010702">
      <w:pPr>
        <w:pStyle w:val="3"/>
        <w:rPr>
          <w:rFonts w:ascii="Times New Roman" w:hAnsi="Times New Roman" w:cs="Times New Roman"/>
        </w:rPr>
      </w:pPr>
      <w:r w:rsidRPr="001402C6">
        <w:rPr>
          <w:rFonts w:ascii="Times New Roman" w:hAnsi="Times New Roman" w:cs="Times New Roman"/>
        </w:rPr>
        <w:t xml:space="preserve">2) </w:t>
      </w:r>
      <w:proofErr w:type="spellStart"/>
      <w:r w:rsidRPr="001402C6">
        <w:rPr>
          <w:rFonts w:ascii="Times New Roman" w:hAnsi="Times New Roman" w:cs="Times New Roman"/>
        </w:rPr>
        <w:t>Polymarket</w:t>
      </w:r>
      <w:proofErr w:type="spellEnd"/>
      <w:r w:rsidRPr="001402C6">
        <w:rPr>
          <w:rFonts w:ascii="Times New Roman" w:hAnsi="Times New Roman" w:cs="Times New Roman"/>
        </w:rPr>
        <w:t xml:space="preserve"> is not great at predicting returns, but it is surprisingly useful for filtering risk</w:t>
      </w:r>
    </w:p>
    <w:p w14:paraId="3375ACB5" w14:textId="74A102D1" w:rsidR="00010702" w:rsidRPr="001402C6" w:rsidRDefault="00010702" w:rsidP="00010702">
      <w:pPr>
        <w:pStyle w:val="ac"/>
        <w:rPr>
          <w:rFonts w:ascii="Times New Roman" w:hAnsi="Times New Roman" w:cs="Times New Roman"/>
        </w:rPr>
      </w:pPr>
      <w:r w:rsidRPr="001402C6">
        <w:rPr>
          <w:rFonts w:ascii="Times New Roman" w:hAnsi="Times New Roman" w:cs="Times New Roman"/>
        </w:rPr>
        <w:t>At first, we thought prediction market data might directly improve return forecasting.</w:t>
      </w:r>
    </w:p>
    <w:p w14:paraId="446F7BE3" w14:textId="77777777" w:rsidR="00010702" w:rsidRPr="001402C6" w:rsidRDefault="00010702" w:rsidP="00010702">
      <w:pPr>
        <w:pStyle w:val="ac"/>
        <w:rPr>
          <w:rFonts w:ascii="Times New Roman" w:hAnsi="Times New Roman" w:cs="Times New Roman"/>
        </w:rPr>
      </w:pPr>
      <w:r w:rsidRPr="001402C6">
        <w:rPr>
          <w:rFonts w:ascii="Times New Roman" w:hAnsi="Times New Roman" w:cs="Times New Roman"/>
        </w:rPr>
        <w:t xml:space="preserve">What we found instead was that its stronger role is not </w:t>
      </w:r>
      <w:r w:rsidRPr="001402C6">
        <w:rPr>
          <w:rStyle w:val="ad"/>
          <w:rFonts w:ascii="Times New Roman" w:hAnsi="Times New Roman" w:cs="Times New Roman"/>
        </w:rPr>
        <w:t>return prediction</w:t>
      </w:r>
      <w:r w:rsidRPr="001402C6">
        <w:rPr>
          <w:rFonts w:ascii="Times New Roman" w:hAnsi="Times New Roman" w:cs="Times New Roman"/>
        </w:rPr>
        <w:t xml:space="preserve">, but </w:t>
      </w:r>
      <w:r w:rsidRPr="001402C6">
        <w:rPr>
          <w:rStyle w:val="ad"/>
          <w:rFonts w:ascii="Times New Roman" w:hAnsi="Times New Roman" w:cs="Times New Roman"/>
        </w:rPr>
        <w:t>risk filtering</w:t>
      </w:r>
      <w:r w:rsidRPr="001402C6">
        <w:rPr>
          <w:rFonts w:ascii="Times New Roman" w:hAnsi="Times New Roman" w:cs="Times New Roman"/>
        </w:rPr>
        <w:t>.</w:t>
      </w:r>
    </w:p>
    <w:p w14:paraId="12BE56AF" w14:textId="2E25AF80" w:rsidR="00A31687" w:rsidRPr="001402C6" w:rsidRDefault="00A31687" w:rsidP="00010702">
      <w:pPr>
        <w:pStyle w:val="ac"/>
        <w:rPr>
          <w:rFonts w:ascii="Times New Roman" w:hAnsi="Times New Roman" w:cs="Times New Roman"/>
        </w:rPr>
      </w:pPr>
      <w:r w:rsidRPr="001402C6">
        <w:rPr>
          <w:rFonts w:ascii="Times New Roman" w:hAnsi="Times New Roman" w:cs="Times New Roman"/>
          <w:noProof/>
        </w:rPr>
        <w:drawing>
          <wp:inline distT="0" distB="0" distL="0" distR="0" wp14:anchorId="76CA92A5" wp14:editId="7F07373C">
            <wp:extent cx="5096786" cy="2968224"/>
            <wp:effectExtent l="0" t="0" r="0" b="3810"/>
            <wp:docPr id="1144956068"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56068" name="图片 4" descr="图表, 条形图&#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03178" cy="2971946"/>
                    </a:xfrm>
                    <a:prstGeom prst="rect">
                      <a:avLst/>
                    </a:prstGeom>
                  </pic:spPr>
                </pic:pic>
              </a:graphicData>
            </a:graphic>
          </wp:inline>
        </w:drawing>
      </w:r>
    </w:p>
    <w:p w14:paraId="59F7D7A2" w14:textId="77777777" w:rsidR="00420428" w:rsidRPr="001402C6" w:rsidRDefault="00420428" w:rsidP="00420428">
      <w:pPr>
        <w:pStyle w:val="ac"/>
        <w:rPr>
          <w:rFonts w:ascii="Times New Roman" w:hAnsi="Times New Roman" w:cs="Times New Roman"/>
        </w:rPr>
      </w:pPr>
      <w:r w:rsidRPr="001402C6">
        <w:rPr>
          <w:rFonts w:ascii="Times New Roman" w:hAnsi="Times New Roman" w:cs="Times New Roman"/>
        </w:rPr>
        <w:lastRenderedPageBreak/>
        <w:t xml:space="preserve">This matters because on-chain data, while powerful, is mostly backward-looking. MVRV, exchange flows, and address activity tell us a great deal about current conditions, but they do not necessarily tell us what kind of information environment the market is entering next. If the goal is to modulate long-term accumulation more actively, some forward-looking context becomes useful. That is where </w:t>
      </w:r>
      <w:proofErr w:type="spellStart"/>
      <w:r w:rsidRPr="001402C6">
        <w:rPr>
          <w:rFonts w:ascii="Times New Roman" w:hAnsi="Times New Roman" w:cs="Times New Roman"/>
        </w:rPr>
        <w:t>Polymarket</w:t>
      </w:r>
      <w:proofErr w:type="spellEnd"/>
      <w:r w:rsidRPr="001402C6">
        <w:rPr>
          <w:rFonts w:ascii="Times New Roman" w:hAnsi="Times New Roman" w:cs="Times New Roman"/>
        </w:rPr>
        <w:t xml:space="preserve"> added value.</w:t>
      </w:r>
    </w:p>
    <w:p w14:paraId="14184FED" w14:textId="77777777" w:rsidR="00420428" w:rsidRPr="001402C6" w:rsidRDefault="00420428" w:rsidP="00420428">
      <w:pPr>
        <w:pStyle w:val="ac"/>
        <w:rPr>
          <w:rFonts w:ascii="Times New Roman" w:hAnsi="Times New Roman" w:cs="Times New Roman"/>
        </w:rPr>
      </w:pPr>
      <w:r w:rsidRPr="001402C6">
        <w:rPr>
          <w:rFonts w:ascii="Times New Roman" w:hAnsi="Times New Roman" w:cs="Times New Roman"/>
        </w:rPr>
        <w:t>One pattern stood out clearly: when there is no meaningful macro event flow, no major information updates, and no strong narrative catalyst, downside risk for Bitcoin tends to be higher. By contrast, when the market is operating in a denser information environment, with participants actively repricing expectations around ongoing events, the probability of large forward drawdowns tends to be lower.</w:t>
      </w:r>
    </w:p>
    <w:p w14:paraId="03BEE40F" w14:textId="77777777" w:rsidR="00420428" w:rsidRPr="001402C6" w:rsidRDefault="00420428" w:rsidP="00420428">
      <w:pPr>
        <w:pStyle w:val="ac"/>
        <w:rPr>
          <w:rFonts w:ascii="Times New Roman" w:hAnsi="Times New Roman" w:cs="Times New Roman"/>
        </w:rPr>
      </w:pPr>
      <w:r w:rsidRPr="001402C6">
        <w:rPr>
          <w:rFonts w:ascii="Times New Roman" w:hAnsi="Times New Roman" w:cs="Times New Roman"/>
        </w:rPr>
        <w:t xml:space="preserve">In other words, prediction markets may not be especially powerful at telling us how much Bitcoin will rise. But they do seem useful for telling us whether the market is still actively processing information. This makes </w:t>
      </w:r>
      <w:proofErr w:type="spellStart"/>
      <w:r w:rsidRPr="001402C6">
        <w:rPr>
          <w:rFonts w:ascii="Times New Roman" w:hAnsi="Times New Roman" w:cs="Times New Roman"/>
        </w:rPr>
        <w:t>Polymarket</w:t>
      </w:r>
      <w:proofErr w:type="spellEnd"/>
      <w:r w:rsidRPr="001402C6">
        <w:rPr>
          <w:rFonts w:ascii="Times New Roman" w:hAnsi="Times New Roman" w:cs="Times New Roman"/>
        </w:rPr>
        <w:t xml:space="preserve"> less of a direct buy signal and more of an environment label. It helps answer a different question: is this a market where it makes sense to lean in, or one where it makes more sense to stay cautious?</w:t>
      </w:r>
    </w:p>
    <w:p w14:paraId="4D3FC653" w14:textId="77777777" w:rsidR="00420428" w:rsidRPr="001402C6" w:rsidRDefault="00420428" w:rsidP="00420428">
      <w:pPr>
        <w:pStyle w:val="ac"/>
        <w:rPr>
          <w:rFonts w:ascii="Times New Roman" w:hAnsi="Times New Roman" w:cs="Times New Roman"/>
        </w:rPr>
      </w:pPr>
      <w:r w:rsidRPr="001402C6">
        <w:rPr>
          <w:rFonts w:ascii="Times New Roman" w:hAnsi="Times New Roman" w:cs="Times New Roman"/>
        </w:rPr>
        <w:t>A related insight was that this kind of information signal works best when treated as time-sensitive. Major event repricing matters most when it is fresh. Once the market has already absorbed the news, the relevance of that signal fades quickly. That is why we found it more useful to think in terms of event intensity and information decay than in terms of static sentiment.</w:t>
      </w:r>
    </w:p>
    <w:p w14:paraId="59C566DD" w14:textId="77777777" w:rsidR="00010702" w:rsidRPr="001402C6" w:rsidRDefault="00010702" w:rsidP="00010702">
      <w:pPr>
        <w:pStyle w:val="3"/>
        <w:rPr>
          <w:rFonts w:ascii="Times New Roman" w:hAnsi="Times New Roman" w:cs="Times New Roman"/>
        </w:rPr>
      </w:pPr>
      <w:r w:rsidRPr="001402C6">
        <w:rPr>
          <w:rFonts w:ascii="Times New Roman" w:hAnsi="Times New Roman" w:cs="Times New Roman"/>
        </w:rPr>
        <w:t>3) “Smart money” signals look promising, but the evidence is still too limited</w:t>
      </w:r>
    </w:p>
    <w:p w14:paraId="05081111" w14:textId="77777777" w:rsidR="00010702" w:rsidRPr="001402C6" w:rsidRDefault="00010702" w:rsidP="00010702">
      <w:pPr>
        <w:pStyle w:val="ac"/>
        <w:rPr>
          <w:rFonts w:ascii="Times New Roman" w:hAnsi="Times New Roman" w:cs="Times New Roman"/>
        </w:rPr>
      </w:pPr>
      <w:r w:rsidRPr="001402C6">
        <w:rPr>
          <w:rFonts w:ascii="Times New Roman" w:hAnsi="Times New Roman" w:cs="Times New Roman"/>
        </w:rPr>
        <w:t xml:space="preserve">We also built a </w:t>
      </w:r>
      <w:r w:rsidRPr="001402C6">
        <w:rPr>
          <w:rStyle w:val="ad"/>
          <w:rFonts w:ascii="Times New Roman" w:hAnsi="Times New Roman" w:cs="Times New Roman"/>
        </w:rPr>
        <w:t>whale directional flow</w:t>
      </w:r>
      <w:r w:rsidRPr="001402C6">
        <w:rPr>
          <w:rFonts w:ascii="Times New Roman" w:hAnsi="Times New Roman" w:cs="Times New Roman"/>
        </w:rPr>
        <w:t xml:space="preserve"> indicator to test whether large prediction market participants were moving in ways that anticipated future Bitcoin performance.</w:t>
      </w:r>
    </w:p>
    <w:p w14:paraId="2BB2C248" w14:textId="088189BC" w:rsidR="00A31687" w:rsidRPr="001402C6" w:rsidRDefault="000D520C" w:rsidP="00010702">
      <w:pPr>
        <w:pStyle w:val="ac"/>
        <w:rPr>
          <w:rFonts w:ascii="Times New Roman" w:hAnsi="Times New Roman" w:cs="Times New Roman"/>
        </w:rPr>
      </w:pPr>
      <w:r w:rsidRPr="001402C6">
        <w:rPr>
          <w:rFonts w:ascii="Times New Roman" w:hAnsi="Times New Roman" w:cs="Times New Roman"/>
          <w:noProof/>
        </w:rPr>
        <w:drawing>
          <wp:inline distT="0" distB="0" distL="0" distR="0" wp14:anchorId="6C8D9988" wp14:editId="3A27B458">
            <wp:extent cx="5943600" cy="1991360"/>
            <wp:effectExtent l="0" t="0" r="0" b="2540"/>
            <wp:docPr id="1655179726" name="图片 6" descr="图表, 条形图, 直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79726" name="图片 6" descr="图表, 条形图, 直方图&#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91360"/>
                    </a:xfrm>
                    <a:prstGeom prst="rect">
                      <a:avLst/>
                    </a:prstGeom>
                  </pic:spPr>
                </pic:pic>
              </a:graphicData>
            </a:graphic>
          </wp:inline>
        </w:drawing>
      </w:r>
    </w:p>
    <w:p w14:paraId="7DB6262A" w14:textId="77777777" w:rsidR="00420428" w:rsidRPr="001402C6" w:rsidRDefault="00420428" w:rsidP="00420428">
      <w:pPr>
        <w:pStyle w:val="ac"/>
        <w:rPr>
          <w:rFonts w:ascii="Times New Roman" w:hAnsi="Times New Roman" w:cs="Times New Roman"/>
        </w:rPr>
      </w:pPr>
      <w:r w:rsidRPr="001402C6">
        <w:rPr>
          <w:rFonts w:ascii="Times New Roman" w:hAnsi="Times New Roman" w:cs="Times New Roman"/>
        </w:rPr>
        <w:t>There was some signal there. Stronger whale flow tended to line up with better future returns and lower drawdown risk. Conceptually, the logic is appealing: if larger and presumably more informed participants are leaning toward risk-on outcomes across crypto-relevant and macro-related markets, that may reflect a broader environment that is more favorable for Bitcoin.</w:t>
      </w:r>
    </w:p>
    <w:p w14:paraId="4FE31BA2" w14:textId="77777777" w:rsidR="00420428" w:rsidRPr="001402C6" w:rsidRDefault="00420428" w:rsidP="00420428">
      <w:pPr>
        <w:pStyle w:val="ac"/>
        <w:rPr>
          <w:rFonts w:ascii="Times New Roman" w:hAnsi="Times New Roman" w:cs="Times New Roman"/>
        </w:rPr>
      </w:pPr>
      <w:r w:rsidRPr="001402C6">
        <w:rPr>
          <w:rFonts w:ascii="Times New Roman" w:hAnsi="Times New Roman" w:cs="Times New Roman"/>
        </w:rPr>
        <w:lastRenderedPageBreak/>
        <w:t xml:space="preserve">But the evidence is still too limited for strong conclusions. The biggest issue is historical coverage. Compared with on-chain data, which spans a much longer cycle history, detailed </w:t>
      </w:r>
      <w:proofErr w:type="spellStart"/>
      <w:r w:rsidRPr="001402C6">
        <w:rPr>
          <w:rFonts w:ascii="Times New Roman" w:hAnsi="Times New Roman" w:cs="Times New Roman"/>
        </w:rPr>
        <w:t>Polymarket</w:t>
      </w:r>
      <w:proofErr w:type="spellEnd"/>
      <w:r w:rsidRPr="001402C6">
        <w:rPr>
          <w:rFonts w:ascii="Times New Roman" w:hAnsi="Times New Roman" w:cs="Times New Roman"/>
        </w:rPr>
        <w:t xml:space="preserve"> trade-level data is only available over a relatively short and recent window. That makes it hard to know whether the result would hold up across more diverse market regimes.</w:t>
      </w:r>
    </w:p>
    <w:p w14:paraId="56A7F1CA" w14:textId="77777777" w:rsidR="00420428" w:rsidRPr="001402C6" w:rsidRDefault="00420428" w:rsidP="00420428">
      <w:pPr>
        <w:pStyle w:val="ac"/>
        <w:rPr>
          <w:rFonts w:ascii="Times New Roman" w:hAnsi="Times New Roman" w:cs="Times New Roman"/>
        </w:rPr>
      </w:pPr>
      <w:r w:rsidRPr="001402C6">
        <w:rPr>
          <w:rFonts w:ascii="Times New Roman" w:hAnsi="Times New Roman" w:cs="Times New Roman"/>
        </w:rPr>
        <w:t>For now, it looks more like a promising lead than a definitive conclusion. It may be useful as a tactical overlay or secondary confirmation, but not yet as a fully validated pillar of the framework.</w:t>
      </w:r>
    </w:p>
    <w:p w14:paraId="220417D5" w14:textId="77777777" w:rsidR="00010702" w:rsidRPr="001402C6" w:rsidRDefault="00010702" w:rsidP="00010702">
      <w:pPr>
        <w:pStyle w:val="3"/>
        <w:rPr>
          <w:rFonts w:ascii="Times New Roman" w:hAnsi="Times New Roman" w:cs="Times New Roman"/>
        </w:rPr>
      </w:pPr>
      <w:r w:rsidRPr="001402C6">
        <w:rPr>
          <w:rFonts w:ascii="Times New Roman" w:hAnsi="Times New Roman" w:cs="Times New Roman"/>
        </w:rPr>
        <w:t>4) The risk index behaves more like a thermometer than a steering wheel</w:t>
      </w:r>
    </w:p>
    <w:p w14:paraId="121302B3" w14:textId="3EEB33D0" w:rsidR="00010702" w:rsidRPr="001402C6" w:rsidRDefault="00010702" w:rsidP="00010702">
      <w:pPr>
        <w:pStyle w:val="ac"/>
        <w:rPr>
          <w:rFonts w:ascii="Times New Roman" w:hAnsi="Times New Roman" w:cs="Times New Roman"/>
        </w:rPr>
      </w:pPr>
      <w:r w:rsidRPr="001402C6">
        <w:rPr>
          <w:rFonts w:ascii="Times New Roman" w:hAnsi="Times New Roman" w:cs="Times New Roman"/>
        </w:rPr>
        <w:t xml:space="preserve">We also constructed a </w:t>
      </w:r>
      <w:r w:rsidRPr="001402C6">
        <w:rPr>
          <w:rStyle w:val="ad"/>
          <w:rFonts w:ascii="Times New Roman" w:hAnsi="Times New Roman" w:cs="Times New Roman"/>
        </w:rPr>
        <w:t>Risk Index</w:t>
      </w:r>
      <w:r w:rsidRPr="001402C6">
        <w:rPr>
          <w:rFonts w:ascii="Times New Roman" w:hAnsi="Times New Roman" w:cs="Times New Roman"/>
        </w:rPr>
        <w:t xml:space="preserve"> based on probability volatility in </w:t>
      </w:r>
      <w:proofErr w:type="spellStart"/>
      <w:r w:rsidRPr="001402C6">
        <w:rPr>
          <w:rFonts w:ascii="Times New Roman" w:hAnsi="Times New Roman" w:cs="Times New Roman"/>
        </w:rPr>
        <w:t>Polymarket</w:t>
      </w:r>
      <w:proofErr w:type="spellEnd"/>
      <w:r w:rsidRPr="001402C6">
        <w:rPr>
          <w:rFonts w:ascii="Times New Roman" w:hAnsi="Times New Roman" w:cs="Times New Roman"/>
        </w:rPr>
        <w:t>, with the goal of measuring how quickly expectations were being revised.</w:t>
      </w:r>
    </w:p>
    <w:p w14:paraId="4FE688D4" w14:textId="1E02707D" w:rsidR="00A31687" w:rsidRPr="001402C6" w:rsidRDefault="00A31687" w:rsidP="00010702">
      <w:pPr>
        <w:pStyle w:val="ac"/>
        <w:rPr>
          <w:rFonts w:ascii="Times New Roman" w:hAnsi="Times New Roman" w:cs="Times New Roman"/>
        </w:rPr>
      </w:pPr>
      <w:r w:rsidRPr="001402C6">
        <w:rPr>
          <w:rFonts w:ascii="Times New Roman" w:hAnsi="Times New Roman" w:cs="Times New Roman"/>
          <w:noProof/>
        </w:rPr>
        <w:drawing>
          <wp:inline distT="0" distB="0" distL="0" distR="0" wp14:anchorId="5EA21CC9" wp14:editId="252E5F35">
            <wp:extent cx="5943600" cy="2580005"/>
            <wp:effectExtent l="0" t="0" r="0" b="0"/>
            <wp:docPr id="555734024" name="图片 5"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34024" name="图片 5" descr="图表, 折线图&#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80005"/>
                    </a:xfrm>
                    <a:prstGeom prst="rect">
                      <a:avLst/>
                    </a:prstGeom>
                  </pic:spPr>
                </pic:pic>
              </a:graphicData>
            </a:graphic>
          </wp:inline>
        </w:drawing>
      </w:r>
    </w:p>
    <w:p w14:paraId="2E6468E1" w14:textId="77777777" w:rsidR="00420428" w:rsidRPr="001402C6" w:rsidRDefault="00420428" w:rsidP="00420428">
      <w:pPr>
        <w:pStyle w:val="ac"/>
        <w:rPr>
          <w:rFonts w:ascii="Times New Roman" w:hAnsi="Times New Roman" w:cs="Times New Roman"/>
        </w:rPr>
      </w:pPr>
      <w:r w:rsidRPr="001402C6">
        <w:rPr>
          <w:rFonts w:ascii="Times New Roman" w:hAnsi="Times New Roman" w:cs="Times New Roman"/>
        </w:rPr>
        <w:t>This index does a decent job of capturing the overall market environment, especially during periods of rapid narrative change or heavy political and macro event activity. Rather than reading raw probability changes in a simple way, the construction was meant to capture how sharply market expectations were being repriced, especially when probabilities were already near extreme levels. In that sense, it works more as a measure of informational velocity than of directional conviction.</w:t>
      </w:r>
    </w:p>
    <w:p w14:paraId="5D183C6E" w14:textId="77777777" w:rsidR="00420428" w:rsidRPr="001402C6" w:rsidRDefault="00420428" w:rsidP="00420428">
      <w:pPr>
        <w:pStyle w:val="ac"/>
        <w:rPr>
          <w:rFonts w:ascii="Times New Roman" w:hAnsi="Times New Roman" w:cs="Times New Roman"/>
        </w:rPr>
      </w:pPr>
      <w:r w:rsidRPr="001402C6">
        <w:rPr>
          <w:rFonts w:ascii="Times New Roman" w:hAnsi="Times New Roman" w:cs="Times New Roman"/>
        </w:rPr>
        <w:t>But it behaves more like a coincident context signal than a leading market signal. So in the final framework, we treated it more as a regime modifier than a primary driver. It is useful for reading the temperature of the market, but not for steering the entire strategy on its own.</w:t>
      </w:r>
    </w:p>
    <w:p w14:paraId="05D326C0" w14:textId="77777777" w:rsidR="00420428" w:rsidRPr="001402C6" w:rsidRDefault="00420428" w:rsidP="00420428">
      <w:pPr>
        <w:pStyle w:val="ac"/>
        <w:rPr>
          <w:rFonts w:ascii="Times New Roman" w:hAnsi="Times New Roman" w:cs="Times New Roman"/>
        </w:rPr>
      </w:pPr>
      <w:r w:rsidRPr="001402C6">
        <w:rPr>
          <w:rFonts w:ascii="Times New Roman" w:hAnsi="Times New Roman" w:cs="Times New Roman"/>
        </w:rPr>
        <w:t>When the index rises sharply, it often reflects a market that is repricing macro or political uncertainty very quickly, which tends to coincide with a more fragile risk environment for Bitcoin. When the index is calmer, the model can place more trust in the slower-moving on-chain accumulation signals. In that sense, the Risk Index is not telling us what to buy by itself. It is telling us how aggressively or cautiously to respond to the other signals already in the framework.</w:t>
      </w:r>
    </w:p>
    <w:p w14:paraId="435F8CE7" w14:textId="77777777" w:rsidR="00010702" w:rsidRPr="001402C6" w:rsidRDefault="00010702" w:rsidP="00010702">
      <w:pPr>
        <w:pStyle w:val="2"/>
        <w:rPr>
          <w:rFonts w:ascii="Times New Roman" w:hAnsi="Times New Roman" w:cs="Times New Roman"/>
        </w:rPr>
      </w:pPr>
      <w:r w:rsidRPr="001402C6">
        <w:rPr>
          <w:rFonts w:ascii="Times New Roman" w:hAnsi="Times New Roman" w:cs="Times New Roman"/>
        </w:rPr>
        <w:lastRenderedPageBreak/>
        <w:t>So what did the final model actually do?</w:t>
      </w:r>
    </w:p>
    <w:p w14:paraId="43AD599A" w14:textId="55AA6C5B" w:rsidR="00010702" w:rsidRPr="001402C6" w:rsidRDefault="009A788D" w:rsidP="00010702">
      <w:pPr>
        <w:pStyle w:val="ac"/>
        <w:rPr>
          <w:rFonts w:ascii="Times New Roman" w:hAnsi="Times New Roman" w:cs="Times New Roman"/>
        </w:rPr>
      </w:pPr>
      <w:r w:rsidRPr="001402C6">
        <w:rPr>
          <w:rFonts w:ascii="Times New Roman" w:hAnsi="Times New Roman" w:cs="Times New Roman"/>
        </w:rPr>
        <w:t>Rather than building a black-box model, we used a transparent layered framework</w:t>
      </w:r>
      <w:r w:rsidR="00010702" w:rsidRPr="001402C6">
        <w:rPr>
          <w:rFonts w:ascii="Times New Roman" w:hAnsi="Times New Roman" w:cs="Times New Roman"/>
        </w:rPr>
        <w:t>:</w:t>
      </w:r>
    </w:p>
    <w:p w14:paraId="6C53410F" w14:textId="77777777" w:rsidR="00010702" w:rsidRPr="001402C6" w:rsidRDefault="00010702" w:rsidP="00010702">
      <w:pPr>
        <w:widowControl/>
        <w:numPr>
          <w:ilvl w:val="0"/>
          <w:numId w:val="11"/>
        </w:numPr>
        <w:spacing w:before="100" w:beforeAutospacing="1" w:after="100" w:afterAutospacing="1"/>
        <w:jc w:val="left"/>
        <w:rPr>
          <w:rFonts w:ascii="Times New Roman" w:hAnsi="Times New Roman" w:cs="Times New Roman"/>
        </w:rPr>
      </w:pPr>
      <w:r w:rsidRPr="001402C6">
        <w:rPr>
          <w:rFonts w:ascii="Times New Roman" w:hAnsi="Times New Roman" w:cs="Times New Roman"/>
        </w:rPr>
        <w:t xml:space="preserve">use on-chain valuation as the primary anchor </w:t>
      </w:r>
    </w:p>
    <w:p w14:paraId="50F3CDAA" w14:textId="77777777" w:rsidR="00010702" w:rsidRPr="001402C6" w:rsidRDefault="00010702" w:rsidP="00010702">
      <w:pPr>
        <w:widowControl/>
        <w:numPr>
          <w:ilvl w:val="0"/>
          <w:numId w:val="11"/>
        </w:numPr>
        <w:spacing w:before="100" w:beforeAutospacing="1" w:after="100" w:afterAutospacing="1"/>
        <w:jc w:val="left"/>
        <w:rPr>
          <w:rFonts w:ascii="Times New Roman" w:hAnsi="Times New Roman" w:cs="Times New Roman"/>
        </w:rPr>
      </w:pPr>
      <w:r w:rsidRPr="001402C6">
        <w:rPr>
          <w:rFonts w:ascii="Times New Roman" w:hAnsi="Times New Roman" w:cs="Times New Roman"/>
        </w:rPr>
        <w:t xml:space="preserve">strengthen it with active churn </w:t>
      </w:r>
    </w:p>
    <w:p w14:paraId="3425DE48" w14:textId="77777777" w:rsidR="00010702" w:rsidRPr="001402C6" w:rsidRDefault="00010702" w:rsidP="00010702">
      <w:pPr>
        <w:widowControl/>
        <w:numPr>
          <w:ilvl w:val="0"/>
          <w:numId w:val="11"/>
        </w:numPr>
        <w:spacing w:before="100" w:beforeAutospacing="1" w:after="100" w:afterAutospacing="1"/>
        <w:jc w:val="left"/>
        <w:rPr>
          <w:rFonts w:ascii="Times New Roman" w:hAnsi="Times New Roman" w:cs="Times New Roman"/>
        </w:rPr>
      </w:pPr>
      <w:r w:rsidRPr="001402C6">
        <w:rPr>
          <w:rFonts w:ascii="Times New Roman" w:hAnsi="Times New Roman" w:cs="Times New Roman"/>
        </w:rPr>
        <w:t xml:space="preserve">filter exposure through event conditions and risk regime </w:t>
      </w:r>
    </w:p>
    <w:p w14:paraId="2BCD3CBC" w14:textId="77777777" w:rsidR="00010702" w:rsidRPr="001402C6" w:rsidRDefault="00010702" w:rsidP="00010702">
      <w:pPr>
        <w:widowControl/>
        <w:numPr>
          <w:ilvl w:val="0"/>
          <w:numId w:val="11"/>
        </w:numPr>
        <w:spacing w:before="100" w:beforeAutospacing="1" w:after="100" w:afterAutospacing="1"/>
        <w:jc w:val="left"/>
        <w:rPr>
          <w:rFonts w:ascii="Times New Roman" w:hAnsi="Times New Roman" w:cs="Times New Roman"/>
        </w:rPr>
      </w:pPr>
      <w:r w:rsidRPr="001402C6">
        <w:rPr>
          <w:rFonts w:ascii="Times New Roman" w:hAnsi="Times New Roman" w:cs="Times New Roman"/>
        </w:rPr>
        <w:t xml:space="preserve">then apply smaller adjustments using prediction market signals </w:t>
      </w:r>
    </w:p>
    <w:p w14:paraId="7B9FC432" w14:textId="77777777" w:rsidR="00010702" w:rsidRPr="001402C6" w:rsidRDefault="00010702" w:rsidP="00010702">
      <w:pPr>
        <w:pStyle w:val="ac"/>
        <w:rPr>
          <w:rFonts w:ascii="Times New Roman" w:hAnsi="Times New Roman" w:cs="Times New Roman"/>
        </w:rPr>
      </w:pPr>
      <w:r w:rsidRPr="001402C6">
        <w:rPr>
          <w:rFonts w:ascii="Times New Roman" w:hAnsi="Times New Roman" w:cs="Times New Roman"/>
        </w:rPr>
        <w:t xml:space="preserve">In rolling one-year </w:t>
      </w:r>
      <w:proofErr w:type="spellStart"/>
      <w:r w:rsidRPr="001402C6">
        <w:rPr>
          <w:rFonts w:ascii="Times New Roman" w:hAnsi="Times New Roman" w:cs="Times New Roman"/>
        </w:rPr>
        <w:t>backtests</w:t>
      </w:r>
      <w:proofErr w:type="spellEnd"/>
      <w:r w:rsidRPr="001402C6">
        <w:rPr>
          <w:rFonts w:ascii="Times New Roman" w:hAnsi="Times New Roman" w:cs="Times New Roman"/>
        </w:rPr>
        <w:t>, this dynamic model showed relatively consistent improvement over uniform DCA.</w:t>
      </w:r>
    </w:p>
    <w:p w14:paraId="3B36B271" w14:textId="1511C79A" w:rsidR="00010702" w:rsidRPr="001402C6" w:rsidRDefault="00010702" w:rsidP="00010702">
      <w:pPr>
        <w:widowControl/>
        <w:numPr>
          <w:ilvl w:val="0"/>
          <w:numId w:val="12"/>
        </w:numPr>
        <w:spacing w:before="100" w:beforeAutospacing="1" w:after="100" w:afterAutospacing="1"/>
        <w:jc w:val="left"/>
        <w:rPr>
          <w:rFonts w:ascii="Times New Roman" w:hAnsi="Times New Roman" w:cs="Times New Roman"/>
        </w:rPr>
      </w:pPr>
      <w:r w:rsidRPr="001402C6">
        <w:rPr>
          <w:rStyle w:val="ad"/>
          <w:rFonts w:ascii="Times New Roman" w:hAnsi="Times New Roman" w:cs="Times New Roman"/>
        </w:rPr>
        <w:t>Win Rate:</w:t>
      </w:r>
      <w:r w:rsidRPr="001402C6">
        <w:rPr>
          <w:rFonts w:ascii="Times New Roman" w:hAnsi="Times New Roman" w:cs="Times New Roman"/>
        </w:rPr>
        <w:t xml:space="preserve"> </w:t>
      </w:r>
      <w:r w:rsidR="00420428" w:rsidRPr="001402C6">
        <w:rPr>
          <w:rFonts w:ascii="Times New Roman" w:hAnsi="Times New Roman" w:cs="Times New Roman"/>
        </w:rPr>
        <w:t>68.56%</w:t>
      </w:r>
    </w:p>
    <w:p w14:paraId="3C6871B1" w14:textId="2BA308C7" w:rsidR="00010702" w:rsidRPr="001402C6" w:rsidRDefault="00010702" w:rsidP="00010702">
      <w:pPr>
        <w:widowControl/>
        <w:numPr>
          <w:ilvl w:val="0"/>
          <w:numId w:val="12"/>
        </w:numPr>
        <w:spacing w:before="100" w:beforeAutospacing="1" w:after="100" w:afterAutospacing="1"/>
        <w:jc w:val="left"/>
        <w:rPr>
          <w:rFonts w:ascii="Times New Roman" w:hAnsi="Times New Roman" w:cs="Times New Roman"/>
        </w:rPr>
      </w:pPr>
      <w:r w:rsidRPr="001402C6">
        <w:rPr>
          <w:rStyle w:val="ad"/>
          <w:rFonts w:ascii="Times New Roman" w:hAnsi="Times New Roman" w:cs="Times New Roman"/>
        </w:rPr>
        <w:t>Final Model Score:</w:t>
      </w:r>
      <w:r w:rsidRPr="001402C6">
        <w:rPr>
          <w:rFonts w:ascii="Times New Roman" w:hAnsi="Times New Roman" w:cs="Times New Roman"/>
        </w:rPr>
        <w:t xml:space="preserve"> </w:t>
      </w:r>
      <w:r w:rsidR="00420428" w:rsidRPr="001402C6">
        <w:rPr>
          <w:rFonts w:ascii="Times New Roman" w:hAnsi="Times New Roman" w:cs="Times New Roman"/>
        </w:rPr>
        <w:t>65.86%</w:t>
      </w:r>
    </w:p>
    <w:p w14:paraId="12AB966B" w14:textId="4406825D" w:rsidR="00010702" w:rsidRPr="001402C6" w:rsidRDefault="00010702" w:rsidP="00010702">
      <w:pPr>
        <w:widowControl/>
        <w:numPr>
          <w:ilvl w:val="0"/>
          <w:numId w:val="12"/>
        </w:numPr>
        <w:spacing w:before="100" w:beforeAutospacing="1" w:after="100" w:afterAutospacing="1"/>
        <w:jc w:val="left"/>
        <w:rPr>
          <w:rFonts w:ascii="Times New Roman" w:hAnsi="Times New Roman" w:cs="Times New Roman"/>
        </w:rPr>
      </w:pPr>
      <w:r w:rsidRPr="001402C6">
        <w:rPr>
          <w:rStyle w:val="ad"/>
          <w:rFonts w:ascii="Times New Roman" w:hAnsi="Times New Roman" w:cs="Times New Roman"/>
        </w:rPr>
        <w:t>Mean Relative Improvement:</w:t>
      </w:r>
      <w:r w:rsidRPr="001402C6">
        <w:rPr>
          <w:rFonts w:ascii="Times New Roman" w:hAnsi="Times New Roman" w:cs="Times New Roman"/>
        </w:rPr>
        <w:t xml:space="preserve"> +2</w:t>
      </w:r>
      <w:r w:rsidR="00420428" w:rsidRPr="001402C6">
        <w:rPr>
          <w:rFonts w:ascii="Times New Roman" w:hAnsi="Times New Roman" w:cs="Times New Roman"/>
        </w:rPr>
        <w:t>1.62</w:t>
      </w:r>
      <w:r w:rsidRPr="001402C6">
        <w:rPr>
          <w:rFonts w:ascii="Times New Roman" w:hAnsi="Times New Roman" w:cs="Times New Roman"/>
        </w:rPr>
        <w:t>%</w:t>
      </w:r>
    </w:p>
    <w:p w14:paraId="284EA69E" w14:textId="5429D297" w:rsidR="00010702" w:rsidRPr="001402C6" w:rsidRDefault="00010702" w:rsidP="00010702">
      <w:pPr>
        <w:pStyle w:val="ac"/>
        <w:rPr>
          <w:rFonts w:ascii="Times New Roman" w:hAnsi="Times New Roman" w:cs="Times New Roman"/>
        </w:rPr>
      </w:pPr>
      <w:r w:rsidRPr="001402C6">
        <w:rPr>
          <w:rFonts w:ascii="Times New Roman" w:hAnsi="Times New Roman" w:cs="Times New Roman"/>
        </w:rPr>
        <w:t>The most important takeaway is not simply that the model outperformed.</w:t>
      </w:r>
    </w:p>
    <w:p w14:paraId="6C5ABC0F" w14:textId="77777777" w:rsidR="00010702" w:rsidRPr="001402C6" w:rsidRDefault="00010702" w:rsidP="00010702">
      <w:pPr>
        <w:pStyle w:val="ac"/>
        <w:rPr>
          <w:rFonts w:ascii="Times New Roman" w:hAnsi="Times New Roman" w:cs="Times New Roman"/>
        </w:rPr>
      </w:pPr>
      <w:r w:rsidRPr="001402C6">
        <w:rPr>
          <w:rFonts w:ascii="Times New Roman" w:hAnsi="Times New Roman" w:cs="Times New Roman"/>
        </w:rPr>
        <w:t>It is that Bitcoin accumulation can, in fact, move one step beyond purely mechanical DCA.</w:t>
      </w:r>
    </w:p>
    <w:p w14:paraId="041FE943" w14:textId="048EFD28" w:rsidR="008635A4" w:rsidRPr="001402C6" w:rsidRDefault="00010702" w:rsidP="00135155">
      <w:pPr>
        <w:pStyle w:val="ac"/>
        <w:rPr>
          <w:rFonts w:ascii="Times New Roman" w:hAnsi="Times New Roman" w:cs="Times New Roman"/>
        </w:rPr>
      </w:pPr>
      <w:r w:rsidRPr="001402C6">
        <w:rPr>
          <w:rFonts w:ascii="Times New Roman" w:hAnsi="Times New Roman" w:cs="Times New Roman"/>
        </w:rPr>
        <w:t>Not toward some fantasy of perfect timing, but toward a more informed allocation process that still respects the long-term discipline of accumulation.</w:t>
      </w:r>
    </w:p>
    <w:p w14:paraId="7AF16DCE" w14:textId="3F7CCF1F" w:rsidR="00010702" w:rsidRPr="001402C6" w:rsidRDefault="009F71F3" w:rsidP="00010702">
      <w:pPr>
        <w:pStyle w:val="2"/>
        <w:rPr>
          <w:rFonts w:ascii="Times New Roman" w:hAnsi="Times New Roman" w:cs="Times New Roman"/>
        </w:rPr>
      </w:pPr>
      <w:r w:rsidRPr="001402C6">
        <w:rPr>
          <w:rFonts w:ascii="Times New Roman" w:hAnsi="Times New Roman" w:cs="Times New Roman"/>
        </w:rPr>
        <w:t>Why this works – and where it breaks</w:t>
      </w:r>
    </w:p>
    <w:p w14:paraId="1936E3C0"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t>What makes this approach work is not that it can find perfect entry points.</w:t>
      </w:r>
    </w:p>
    <w:p w14:paraId="69CC05A7"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t>It doesn’t need to.</w:t>
      </w:r>
    </w:p>
    <w:p w14:paraId="5301CDC1"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t>All it really does is simple:</w:t>
      </w:r>
      <w:r w:rsidRPr="001402C6">
        <w:rPr>
          <w:rFonts w:ascii="Times New Roman" w:hAnsi="Times New Roman" w:cs="Times New Roman"/>
        </w:rPr>
        <w:br/>
        <w:t>buy a bit more on better days, and a bit less on worse ones.</w:t>
      </w:r>
    </w:p>
    <w:p w14:paraId="073F4925"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t>Over time, those small differences add up. The edge doesn’t come from a few perfect calls — it comes from consistently being slightly better than random.</w:t>
      </w:r>
    </w:p>
    <w:p w14:paraId="21E5D6BA"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t>But this also shows where the model struggles.</w:t>
      </w:r>
    </w:p>
    <w:p w14:paraId="096B5F96"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t>The clearest example is late 2022, right after the FTX collapse. Bitcoin had already become very cheap, but the broader environment still looked fragile. Trend signals were weak, and risk still felt high.</w:t>
      </w:r>
    </w:p>
    <w:p w14:paraId="773EB1F0"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t>So the model did what it was designed to do — it stayed cautious.</w:t>
      </w:r>
    </w:p>
    <w:p w14:paraId="3B3D4A16"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t>That meant it missed part of the early recovery, which is often one of the most important phases for accumulation.</w:t>
      </w:r>
    </w:p>
    <w:p w14:paraId="394FF83F"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lastRenderedPageBreak/>
        <w:t>This gets to a deeper tradeoff.</w:t>
      </w:r>
      <w:r w:rsidRPr="001402C6">
        <w:rPr>
          <w:rFonts w:ascii="Times New Roman" w:hAnsi="Times New Roman" w:cs="Times New Roman"/>
        </w:rPr>
        <w:br/>
        <w:t>The same logic that helps avoid overbuying in a falling market can also make you late when things start to turn.</w:t>
      </w:r>
    </w:p>
    <w:p w14:paraId="4BF362F3"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t>The hardest periods aren’t crashes or bubbles.</w:t>
      </w:r>
      <w:r w:rsidRPr="001402C6">
        <w:rPr>
          <w:rFonts w:ascii="Times New Roman" w:hAnsi="Times New Roman" w:cs="Times New Roman"/>
        </w:rPr>
        <w:br/>
        <w:t>They’re transitions — when value is already there, but confidence isn’t.</w:t>
      </w:r>
    </w:p>
    <w:p w14:paraId="17CDBBEC"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t>So I don’t see this as a finished solution.</w:t>
      </w:r>
    </w:p>
    <w:p w14:paraId="4AAF0CDF" w14:textId="77777777" w:rsidR="009F71F3" w:rsidRPr="001402C6" w:rsidRDefault="009F71F3" w:rsidP="009F71F3">
      <w:pPr>
        <w:pStyle w:val="ac"/>
        <w:rPr>
          <w:rFonts w:ascii="Times New Roman" w:hAnsi="Times New Roman" w:cs="Times New Roman"/>
        </w:rPr>
      </w:pPr>
      <w:r w:rsidRPr="001402C6">
        <w:rPr>
          <w:rFonts w:ascii="Times New Roman" w:hAnsi="Times New Roman" w:cs="Times New Roman"/>
        </w:rPr>
        <w:t>It’s more like a starting point — a way to show that DCA doesn’t have to be purely mechanical, but also doesn’t need to become a prediction game.</w:t>
      </w:r>
    </w:p>
    <w:p w14:paraId="10D3CB77" w14:textId="140B75BC" w:rsidR="005C0105" w:rsidRPr="001402C6" w:rsidRDefault="005C0105" w:rsidP="005C0105">
      <w:pPr>
        <w:pStyle w:val="2"/>
        <w:rPr>
          <w:rFonts w:ascii="Times New Roman" w:hAnsi="Times New Roman" w:cs="Times New Roman"/>
        </w:rPr>
      </w:pPr>
      <w:r w:rsidRPr="001402C6">
        <w:rPr>
          <w:rFonts w:ascii="Times New Roman" w:hAnsi="Times New Roman" w:cs="Times New Roman"/>
        </w:rPr>
        <w:t>Maybe the real lesson is simpler</w:t>
      </w:r>
    </w:p>
    <w:p w14:paraId="14B02B3C" w14:textId="7D49BC90" w:rsidR="00010702" w:rsidRPr="001402C6" w:rsidRDefault="00010702" w:rsidP="00010702">
      <w:pPr>
        <w:pStyle w:val="ac"/>
        <w:rPr>
          <w:rFonts w:ascii="Times New Roman" w:hAnsi="Times New Roman" w:cs="Times New Roman"/>
        </w:rPr>
      </w:pPr>
      <w:r w:rsidRPr="001402C6">
        <w:rPr>
          <w:rFonts w:ascii="Times New Roman" w:hAnsi="Times New Roman" w:cs="Times New Roman"/>
        </w:rPr>
        <w:t>This project did not make me reject DCA.</w:t>
      </w:r>
    </w:p>
    <w:p w14:paraId="4577604F" w14:textId="77777777" w:rsidR="00010702" w:rsidRPr="001402C6" w:rsidRDefault="00010702" w:rsidP="00010702">
      <w:pPr>
        <w:pStyle w:val="ac"/>
        <w:rPr>
          <w:rFonts w:ascii="Times New Roman" w:hAnsi="Times New Roman" w:cs="Times New Roman"/>
        </w:rPr>
      </w:pPr>
      <w:r w:rsidRPr="001402C6">
        <w:rPr>
          <w:rFonts w:ascii="Times New Roman" w:hAnsi="Times New Roman" w:cs="Times New Roman"/>
        </w:rPr>
        <w:t>If anything, it made me appreciate why it has lasted for so long. DCA works not only because it is simple, but because it protects people from emotion, overreaction, and the endless urge to wait for a “better” entry.</w:t>
      </w:r>
    </w:p>
    <w:p w14:paraId="0FB6836E" w14:textId="77777777" w:rsidR="00010702" w:rsidRPr="001402C6" w:rsidRDefault="00010702" w:rsidP="00010702">
      <w:pPr>
        <w:pStyle w:val="ac"/>
        <w:rPr>
          <w:rFonts w:ascii="Times New Roman" w:hAnsi="Times New Roman" w:cs="Times New Roman"/>
        </w:rPr>
      </w:pPr>
      <w:r w:rsidRPr="001402C6">
        <w:rPr>
          <w:rFonts w:ascii="Times New Roman" w:hAnsi="Times New Roman" w:cs="Times New Roman"/>
        </w:rPr>
        <w:t>What changed is something else.</w:t>
      </w:r>
    </w:p>
    <w:p w14:paraId="67DCC66F" w14:textId="77777777" w:rsidR="00010702" w:rsidRPr="001402C6" w:rsidRDefault="00010702" w:rsidP="00010702">
      <w:pPr>
        <w:pStyle w:val="ac"/>
        <w:rPr>
          <w:rFonts w:ascii="Times New Roman" w:hAnsi="Times New Roman" w:cs="Times New Roman"/>
        </w:rPr>
      </w:pPr>
      <w:r w:rsidRPr="001402C6">
        <w:rPr>
          <w:rFonts w:ascii="Times New Roman" w:hAnsi="Times New Roman" w:cs="Times New Roman"/>
        </w:rPr>
        <w:t>I started to question whether every day really deserves the same allocation.</w:t>
      </w:r>
    </w:p>
    <w:p w14:paraId="5EE1B3F4" w14:textId="36C62AD9" w:rsidR="00B17B5C" w:rsidRPr="001402C6" w:rsidRDefault="00010702" w:rsidP="00010702">
      <w:pPr>
        <w:pStyle w:val="ac"/>
        <w:rPr>
          <w:rFonts w:ascii="Times New Roman" w:hAnsi="Times New Roman" w:cs="Times New Roman"/>
        </w:rPr>
      </w:pPr>
      <w:r w:rsidRPr="001402C6">
        <w:rPr>
          <w:rFonts w:ascii="Times New Roman" w:hAnsi="Times New Roman" w:cs="Times New Roman"/>
        </w:rPr>
        <w:t xml:space="preserve">And if the answer is no, then maybe what matters more than predicting price is something simpler: </w:t>
      </w:r>
      <w:r w:rsidRPr="001402C6">
        <w:rPr>
          <w:rStyle w:val="ad"/>
          <w:rFonts w:ascii="Times New Roman" w:hAnsi="Times New Roman" w:cs="Times New Roman"/>
        </w:rPr>
        <w:t>Bringing the same patience to better moments.</w:t>
      </w:r>
    </w:p>
    <w:sectPr w:rsidR="00B17B5C" w:rsidRPr="001402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3E09"/>
    <w:multiLevelType w:val="multilevel"/>
    <w:tmpl w:val="60B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E4A32"/>
    <w:multiLevelType w:val="hybridMultilevel"/>
    <w:tmpl w:val="595EDC74"/>
    <w:lvl w:ilvl="0" w:tplc="065C5172">
      <w:start w:val="1"/>
      <w:numFmt w:val="bullet"/>
      <w:lvlText w:val="●"/>
      <w:lvlJc w:val="left"/>
      <w:pPr>
        <w:ind w:left="720" w:hanging="360"/>
      </w:pPr>
    </w:lvl>
    <w:lvl w:ilvl="1" w:tplc="F9F4898E">
      <w:start w:val="1"/>
      <w:numFmt w:val="bullet"/>
      <w:lvlText w:val="○"/>
      <w:lvlJc w:val="left"/>
      <w:pPr>
        <w:ind w:left="1440" w:hanging="360"/>
      </w:pPr>
    </w:lvl>
    <w:lvl w:ilvl="2" w:tplc="73D2BFBC">
      <w:start w:val="1"/>
      <w:numFmt w:val="bullet"/>
      <w:lvlText w:val="■"/>
      <w:lvlJc w:val="left"/>
      <w:pPr>
        <w:ind w:left="2160" w:hanging="360"/>
      </w:pPr>
    </w:lvl>
    <w:lvl w:ilvl="3" w:tplc="446E7DC0">
      <w:start w:val="1"/>
      <w:numFmt w:val="bullet"/>
      <w:lvlText w:val="●"/>
      <w:lvlJc w:val="left"/>
      <w:pPr>
        <w:ind w:left="2880" w:hanging="360"/>
      </w:pPr>
    </w:lvl>
    <w:lvl w:ilvl="4" w:tplc="966AEF36">
      <w:start w:val="1"/>
      <w:numFmt w:val="bullet"/>
      <w:lvlText w:val="○"/>
      <w:lvlJc w:val="left"/>
      <w:pPr>
        <w:ind w:left="3600" w:hanging="360"/>
      </w:pPr>
    </w:lvl>
    <w:lvl w:ilvl="5" w:tplc="B2E22C70">
      <w:start w:val="1"/>
      <w:numFmt w:val="bullet"/>
      <w:lvlText w:val="■"/>
      <w:lvlJc w:val="left"/>
      <w:pPr>
        <w:ind w:left="4320" w:hanging="360"/>
      </w:pPr>
    </w:lvl>
    <w:lvl w:ilvl="6" w:tplc="0CF8EED2">
      <w:start w:val="1"/>
      <w:numFmt w:val="bullet"/>
      <w:lvlText w:val="●"/>
      <w:lvlJc w:val="left"/>
      <w:pPr>
        <w:ind w:left="5040" w:hanging="360"/>
      </w:pPr>
    </w:lvl>
    <w:lvl w:ilvl="7" w:tplc="6DE0879C">
      <w:start w:val="1"/>
      <w:numFmt w:val="bullet"/>
      <w:lvlText w:val="●"/>
      <w:lvlJc w:val="left"/>
      <w:pPr>
        <w:ind w:left="5760" w:hanging="360"/>
      </w:pPr>
    </w:lvl>
    <w:lvl w:ilvl="8" w:tplc="D3563272">
      <w:start w:val="1"/>
      <w:numFmt w:val="bullet"/>
      <w:lvlText w:val="●"/>
      <w:lvlJc w:val="left"/>
      <w:pPr>
        <w:ind w:left="6480" w:hanging="360"/>
      </w:pPr>
    </w:lvl>
  </w:abstractNum>
  <w:abstractNum w:abstractNumId="2" w15:restartNumberingAfterBreak="0">
    <w:nsid w:val="05DA3665"/>
    <w:multiLevelType w:val="multilevel"/>
    <w:tmpl w:val="F65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A11AA"/>
    <w:multiLevelType w:val="multilevel"/>
    <w:tmpl w:val="B23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F0C39"/>
    <w:multiLevelType w:val="multilevel"/>
    <w:tmpl w:val="4C30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83A31"/>
    <w:multiLevelType w:val="multilevel"/>
    <w:tmpl w:val="396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A61C3"/>
    <w:multiLevelType w:val="hybridMultilevel"/>
    <w:tmpl w:val="7C5E9BCE"/>
    <w:lvl w:ilvl="0" w:tplc="C7DA73EC">
      <w:start w:val="1"/>
      <w:numFmt w:val="bullet"/>
      <w:lvlText w:val="•"/>
      <w:lvlJc w:val="left"/>
      <w:pPr>
        <w:ind w:left="720" w:hanging="360"/>
      </w:pPr>
    </w:lvl>
    <w:lvl w:ilvl="1" w:tplc="B0F2A39A">
      <w:numFmt w:val="decimal"/>
      <w:lvlText w:val=""/>
      <w:lvlJc w:val="left"/>
    </w:lvl>
    <w:lvl w:ilvl="2" w:tplc="CF72E14C">
      <w:numFmt w:val="decimal"/>
      <w:lvlText w:val=""/>
      <w:lvlJc w:val="left"/>
    </w:lvl>
    <w:lvl w:ilvl="3" w:tplc="C25009CC">
      <w:numFmt w:val="decimal"/>
      <w:lvlText w:val=""/>
      <w:lvlJc w:val="left"/>
    </w:lvl>
    <w:lvl w:ilvl="4" w:tplc="3530D592">
      <w:numFmt w:val="decimal"/>
      <w:lvlText w:val=""/>
      <w:lvlJc w:val="left"/>
    </w:lvl>
    <w:lvl w:ilvl="5" w:tplc="DC624288">
      <w:numFmt w:val="decimal"/>
      <w:lvlText w:val=""/>
      <w:lvlJc w:val="left"/>
    </w:lvl>
    <w:lvl w:ilvl="6" w:tplc="EDDA573A">
      <w:numFmt w:val="decimal"/>
      <w:lvlText w:val=""/>
      <w:lvlJc w:val="left"/>
    </w:lvl>
    <w:lvl w:ilvl="7" w:tplc="E2A69842">
      <w:numFmt w:val="decimal"/>
      <w:lvlText w:val=""/>
      <w:lvlJc w:val="left"/>
    </w:lvl>
    <w:lvl w:ilvl="8" w:tplc="C21C5A22">
      <w:numFmt w:val="decimal"/>
      <w:lvlText w:val=""/>
      <w:lvlJc w:val="left"/>
    </w:lvl>
  </w:abstractNum>
  <w:abstractNum w:abstractNumId="7" w15:restartNumberingAfterBreak="0">
    <w:nsid w:val="4B9277AE"/>
    <w:multiLevelType w:val="multilevel"/>
    <w:tmpl w:val="558C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257B36"/>
    <w:multiLevelType w:val="multilevel"/>
    <w:tmpl w:val="525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1B5DEF"/>
    <w:multiLevelType w:val="multilevel"/>
    <w:tmpl w:val="AEB4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664B1"/>
    <w:multiLevelType w:val="multilevel"/>
    <w:tmpl w:val="3EC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C63C7"/>
    <w:multiLevelType w:val="multilevel"/>
    <w:tmpl w:val="0518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600561">
    <w:abstractNumId w:val="1"/>
    <w:lvlOverride w:ilvl="0">
      <w:startOverride w:val="1"/>
    </w:lvlOverride>
  </w:num>
  <w:num w:numId="2" w16cid:durableId="846208902">
    <w:abstractNumId w:val="6"/>
    <w:lvlOverride w:ilvl="0">
      <w:startOverride w:val="1"/>
    </w:lvlOverride>
  </w:num>
  <w:num w:numId="3" w16cid:durableId="210580610">
    <w:abstractNumId w:val="4"/>
  </w:num>
  <w:num w:numId="4" w16cid:durableId="1535771883">
    <w:abstractNumId w:val="7"/>
  </w:num>
  <w:num w:numId="5" w16cid:durableId="1413969216">
    <w:abstractNumId w:val="8"/>
  </w:num>
  <w:num w:numId="6" w16cid:durableId="821048909">
    <w:abstractNumId w:val="11"/>
  </w:num>
  <w:num w:numId="7" w16cid:durableId="301810898">
    <w:abstractNumId w:val="3"/>
  </w:num>
  <w:num w:numId="8" w16cid:durableId="378283774">
    <w:abstractNumId w:val="0"/>
  </w:num>
  <w:num w:numId="9" w16cid:durableId="573589143">
    <w:abstractNumId w:val="2"/>
  </w:num>
  <w:num w:numId="10" w16cid:durableId="571738166">
    <w:abstractNumId w:val="9"/>
  </w:num>
  <w:num w:numId="11" w16cid:durableId="1025054956">
    <w:abstractNumId w:val="10"/>
  </w:num>
  <w:num w:numId="12" w16cid:durableId="15834438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B5C"/>
    <w:rsid w:val="00010702"/>
    <w:rsid w:val="0001313F"/>
    <w:rsid w:val="000919CB"/>
    <w:rsid w:val="000D520C"/>
    <w:rsid w:val="00135155"/>
    <w:rsid w:val="001402C6"/>
    <w:rsid w:val="001878C6"/>
    <w:rsid w:val="00333E9D"/>
    <w:rsid w:val="00420428"/>
    <w:rsid w:val="004B6D85"/>
    <w:rsid w:val="005C0105"/>
    <w:rsid w:val="006543C9"/>
    <w:rsid w:val="00695741"/>
    <w:rsid w:val="007456BB"/>
    <w:rsid w:val="008635A4"/>
    <w:rsid w:val="00956293"/>
    <w:rsid w:val="009A788D"/>
    <w:rsid w:val="009F71F3"/>
    <w:rsid w:val="00A31687"/>
    <w:rsid w:val="00B17B5C"/>
    <w:rsid w:val="00B20E1E"/>
    <w:rsid w:val="00D95AEB"/>
    <w:rsid w:val="00E42692"/>
    <w:rsid w:val="00ED0889"/>
    <w:rsid w:val="00F00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778FC"/>
  <w15:docId w15:val="{40107426-BB44-0442-AB29-BA8B9D69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spacing w:before="320" w:after="200"/>
      <w:outlineLvl w:val="0"/>
    </w:pPr>
    <w:rPr>
      <w:rFonts w:eastAsia="Arial"/>
      <w:b/>
      <w:bCs/>
      <w:color w:val="1F5C99"/>
      <w:sz w:val="36"/>
      <w:szCs w:val="36"/>
    </w:rPr>
  </w:style>
  <w:style w:type="paragraph" w:styleId="2">
    <w:name w:val="heading 2"/>
    <w:uiPriority w:val="9"/>
    <w:unhideWhenUsed/>
    <w:qFormat/>
    <w:pPr>
      <w:spacing w:before="240" w:after="160"/>
      <w:outlineLvl w:val="1"/>
    </w:pPr>
    <w:rPr>
      <w:rFonts w:eastAsia="Arial"/>
      <w:b/>
      <w:bCs/>
      <w:color w:val="2E75B6"/>
      <w:sz w:val="28"/>
      <w:szCs w:val="28"/>
    </w:rPr>
  </w:style>
  <w:style w:type="paragraph" w:styleId="3">
    <w:name w:val="heading 3"/>
    <w:uiPriority w:val="9"/>
    <w:unhideWhenUsed/>
    <w:qFormat/>
    <w:pPr>
      <w:spacing w:before="180" w:after="120"/>
      <w:outlineLvl w:val="2"/>
    </w:pPr>
    <w:rPr>
      <w:rFonts w:eastAsia="Arial"/>
      <w:b/>
      <w:bCs/>
      <w:color w:val="40404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Normal (Web)"/>
    <w:basedOn w:val="a"/>
    <w:uiPriority w:val="99"/>
    <w:unhideWhenUsed/>
    <w:rsid w:val="004B6D85"/>
    <w:pPr>
      <w:widowControl/>
      <w:spacing w:before="100" w:beforeAutospacing="1" w:after="100" w:afterAutospacing="1"/>
      <w:jc w:val="left"/>
    </w:pPr>
    <w:rPr>
      <w:rFonts w:ascii="宋体" w:eastAsia="宋体" w:hAnsi="宋体" w:cs="宋体"/>
      <w:sz w:val="24"/>
      <w:szCs w:val="24"/>
    </w:rPr>
  </w:style>
  <w:style w:type="character" w:styleId="ad">
    <w:name w:val="Strong"/>
    <w:basedOn w:val="a0"/>
    <w:uiPriority w:val="22"/>
    <w:qFormat/>
    <w:rsid w:val="004B6D85"/>
    <w:rPr>
      <w:b/>
      <w:bCs/>
    </w:rPr>
  </w:style>
  <w:style w:type="paragraph" w:styleId="z-">
    <w:name w:val="HTML Top of Form"/>
    <w:basedOn w:val="a"/>
    <w:next w:val="a"/>
    <w:link w:val="z-0"/>
    <w:hidden/>
    <w:uiPriority w:val="99"/>
    <w:semiHidden/>
    <w:unhideWhenUsed/>
    <w:rsid w:val="004B6D85"/>
    <w:pPr>
      <w:widowControl/>
      <w:pBdr>
        <w:bottom w:val="single" w:sz="6" w:space="1" w:color="auto"/>
      </w:pBdr>
      <w:jc w:val="center"/>
    </w:pPr>
    <w:rPr>
      <w:rFonts w:eastAsia="宋体"/>
      <w:vanish/>
      <w:sz w:val="16"/>
      <w:szCs w:val="16"/>
    </w:rPr>
  </w:style>
  <w:style w:type="character" w:customStyle="1" w:styleId="z-0">
    <w:name w:val="z-窗体顶端 字符"/>
    <w:basedOn w:val="a0"/>
    <w:link w:val="z-"/>
    <w:uiPriority w:val="99"/>
    <w:semiHidden/>
    <w:rsid w:val="004B6D85"/>
    <w:rPr>
      <w:rFonts w:eastAsia="宋体"/>
      <w:vanish/>
      <w:sz w:val="16"/>
      <w:szCs w:val="16"/>
    </w:rPr>
  </w:style>
  <w:style w:type="paragraph" w:customStyle="1" w:styleId="placeholder">
    <w:name w:val="placeholder"/>
    <w:basedOn w:val="a"/>
    <w:rsid w:val="004B6D85"/>
    <w:pPr>
      <w:widowControl/>
      <w:spacing w:before="100" w:beforeAutospacing="1" w:after="100" w:afterAutospacing="1"/>
      <w:jc w:val="left"/>
    </w:pPr>
    <w:rPr>
      <w:rFonts w:ascii="宋体" w:eastAsia="宋体" w:hAnsi="宋体" w:cs="宋体"/>
      <w:sz w:val="24"/>
      <w:szCs w:val="24"/>
    </w:rPr>
  </w:style>
  <w:style w:type="paragraph" w:styleId="z-1">
    <w:name w:val="HTML Bottom of Form"/>
    <w:basedOn w:val="a"/>
    <w:next w:val="a"/>
    <w:link w:val="z-2"/>
    <w:hidden/>
    <w:uiPriority w:val="99"/>
    <w:semiHidden/>
    <w:unhideWhenUsed/>
    <w:rsid w:val="004B6D85"/>
    <w:pPr>
      <w:widowControl/>
      <w:pBdr>
        <w:top w:val="single" w:sz="6" w:space="1" w:color="auto"/>
      </w:pBdr>
      <w:jc w:val="center"/>
    </w:pPr>
    <w:rPr>
      <w:rFonts w:eastAsia="宋体"/>
      <w:vanish/>
      <w:sz w:val="16"/>
      <w:szCs w:val="16"/>
    </w:rPr>
  </w:style>
  <w:style w:type="character" w:customStyle="1" w:styleId="z-2">
    <w:name w:val="z-窗体底端 字符"/>
    <w:basedOn w:val="a0"/>
    <w:link w:val="z-1"/>
    <w:uiPriority w:val="99"/>
    <w:semiHidden/>
    <w:rsid w:val="004B6D85"/>
    <w:rPr>
      <w:rFonts w:eastAsia="宋体"/>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211746">
      <w:bodyDiv w:val="1"/>
      <w:marLeft w:val="0"/>
      <w:marRight w:val="0"/>
      <w:marTop w:val="0"/>
      <w:marBottom w:val="0"/>
      <w:divBdr>
        <w:top w:val="none" w:sz="0" w:space="0" w:color="auto"/>
        <w:left w:val="none" w:sz="0" w:space="0" w:color="auto"/>
        <w:bottom w:val="none" w:sz="0" w:space="0" w:color="auto"/>
        <w:right w:val="none" w:sz="0" w:space="0" w:color="auto"/>
      </w:divBdr>
    </w:div>
    <w:div w:id="622228933">
      <w:bodyDiv w:val="1"/>
      <w:marLeft w:val="0"/>
      <w:marRight w:val="0"/>
      <w:marTop w:val="0"/>
      <w:marBottom w:val="0"/>
      <w:divBdr>
        <w:top w:val="none" w:sz="0" w:space="0" w:color="auto"/>
        <w:left w:val="none" w:sz="0" w:space="0" w:color="auto"/>
        <w:bottom w:val="none" w:sz="0" w:space="0" w:color="auto"/>
        <w:right w:val="none" w:sz="0" w:space="0" w:color="auto"/>
      </w:divBdr>
    </w:div>
    <w:div w:id="692146048">
      <w:bodyDiv w:val="1"/>
      <w:marLeft w:val="0"/>
      <w:marRight w:val="0"/>
      <w:marTop w:val="0"/>
      <w:marBottom w:val="0"/>
      <w:divBdr>
        <w:top w:val="none" w:sz="0" w:space="0" w:color="auto"/>
        <w:left w:val="none" w:sz="0" w:space="0" w:color="auto"/>
        <w:bottom w:val="none" w:sz="0" w:space="0" w:color="auto"/>
        <w:right w:val="none" w:sz="0" w:space="0" w:color="auto"/>
      </w:divBdr>
    </w:div>
    <w:div w:id="692267492">
      <w:bodyDiv w:val="1"/>
      <w:marLeft w:val="0"/>
      <w:marRight w:val="0"/>
      <w:marTop w:val="0"/>
      <w:marBottom w:val="0"/>
      <w:divBdr>
        <w:top w:val="none" w:sz="0" w:space="0" w:color="auto"/>
        <w:left w:val="none" w:sz="0" w:space="0" w:color="auto"/>
        <w:bottom w:val="none" w:sz="0" w:space="0" w:color="auto"/>
        <w:right w:val="none" w:sz="0" w:space="0" w:color="auto"/>
      </w:divBdr>
    </w:div>
    <w:div w:id="709036051">
      <w:bodyDiv w:val="1"/>
      <w:marLeft w:val="0"/>
      <w:marRight w:val="0"/>
      <w:marTop w:val="0"/>
      <w:marBottom w:val="0"/>
      <w:divBdr>
        <w:top w:val="none" w:sz="0" w:space="0" w:color="auto"/>
        <w:left w:val="none" w:sz="0" w:space="0" w:color="auto"/>
        <w:bottom w:val="none" w:sz="0" w:space="0" w:color="auto"/>
        <w:right w:val="none" w:sz="0" w:space="0" w:color="auto"/>
      </w:divBdr>
    </w:div>
    <w:div w:id="741638139">
      <w:bodyDiv w:val="1"/>
      <w:marLeft w:val="0"/>
      <w:marRight w:val="0"/>
      <w:marTop w:val="0"/>
      <w:marBottom w:val="0"/>
      <w:divBdr>
        <w:top w:val="none" w:sz="0" w:space="0" w:color="auto"/>
        <w:left w:val="none" w:sz="0" w:space="0" w:color="auto"/>
        <w:bottom w:val="none" w:sz="0" w:space="0" w:color="auto"/>
        <w:right w:val="none" w:sz="0" w:space="0" w:color="auto"/>
      </w:divBdr>
    </w:div>
    <w:div w:id="771123140">
      <w:bodyDiv w:val="1"/>
      <w:marLeft w:val="0"/>
      <w:marRight w:val="0"/>
      <w:marTop w:val="0"/>
      <w:marBottom w:val="0"/>
      <w:divBdr>
        <w:top w:val="none" w:sz="0" w:space="0" w:color="auto"/>
        <w:left w:val="none" w:sz="0" w:space="0" w:color="auto"/>
        <w:bottom w:val="none" w:sz="0" w:space="0" w:color="auto"/>
        <w:right w:val="none" w:sz="0" w:space="0" w:color="auto"/>
      </w:divBdr>
    </w:div>
    <w:div w:id="804158237">
      <w:bodyDiv w:val="1"/>
      <w:marLeft w:val="0"/>
      <w:marRight w:val="0"/>
      <w:marTop w:val="0"/>
      <w:marBottom w:val="0"/>
      <w:divBdr>
        <w:top w:val="none" w:sz="0" w:space="0" w:color="auto"/>
        <w:left w:val="none" w:sz="0" w:space="0" w:color="auto"/>
        <w:bottom w:val="none" w:sz="0" w:space="0" w:color="auto"/>
        <w:right w:val="none" w:sz="0" w:space="0" w:color="auto"/>
      </w:divBdr>
      <w:divsChild>
        <w:div w:id="1529952751">
          <w:marLeft w:val="0"/>
          <w:marRight w:val="0"/>
          <w:marTop w:val="0"/>
          <w:marBottom w:val="0"/>
          <w:divBdr>
            <w:top w:val="none" w:sz="0" w:space="0" w:color="auto"/>
            <w:left w:val="none" w:sz="0" w:space="0" w:color="auto"/>
            <w:bottom w:val="none" w:sz="0" w:space="0" w:color="auto"/>
            <w:right w:val="none" w:sz="0" w:space="0" w:color="auto"/>
          </w:divBdr>
          <w:divsChild>
            <w:div w:id="225797610">
              <w:marLeft w:val="0"/>
              <w:marRight w:val="0"/>
              <w:marTop w:val="0"/>
              <w:marBottom w:val="0"/>
              <w:divBdr>
                <w:top w:val="none" w:sz="0" w:space="0" w:color="auto"/>
                <w:left w:val="none" w:sz="0" w:space="0" w:color="auto"/>
                <w:bottom w:val="none" w:sz="0" w:space="0" w:color="auto"/>
                <w:right w:val="none" w:sz="0" w:space="0" w:color="auto"/>
              </w:divBdr>
              <w:divsChild>
                <w:div w:id="1499879697">
                  <w:marLeft w:val="0"/>
                  <w:marRight w:val="0"/>
                  <w:marTop w:val="0"/>
                  <w:marBottom w:val="0"/>
                  <w:divBdr>
                    <w:top w:val="none" w:sz="0" w:space="0" w:color="auto"/>
                    <w:left w:val="none" w:sz="0" w:space="0" w:color="auto"/>
                    <w:bottom w:val="none" w:sz="0" w:space="0" w:color="auto"/>
                    <w:right w:val="none" w:sz="0" w:space="0" w:color="auto"/>
                  </w:divBdr>
                  <w:divsChild>
                    <w:div w:id="1144354226">
                      <w:marLeft w:val="0"/>
                      <w:marRight w:val="0"/>
                      <w:marTop w:val="0"/>
                      <w:marBottom w:val="0"/>
                      <w:divBdr>
                        <w:top w:val="none" w:sz="0" w:space="0" w:color="auto"/>
                        <w:left w:val="none" w:sz="0" w:space="0" w:color="auto"/>
                        <w:bottom w:val="none" w:sz="0" w:space="0" w:color="auto"/>
                        <w:right w:val="none" w:sz="0" w:space="0" w:color="auto"/>
                      </w:divBdr>
                      <w:divsChild>
                        <w:div w:id="522476142">
                          <w:marLeft w:val="0"/>
                          <w:marRight w:val="0"/>
                          <w:marTop w:val="0"/>
                          <w:marBottom w:val="0"/>
                          <w:divBdr>
                            <w:top w:val="none" w:sz="0" w:space="0" w:color="auto"/>
                            <w:left w:val="none" w:sz="0" w:space="0" w:color="auto"/>
                            <w:bottom w:val="none" w:sz="0" w:space="0" w:color="auto"/>
                            <w:right w:val="none" w:sz="0" w:space="0" w:color="auto"/>
                          </w:divBdr>
                          <w:divsChild>
                            <w:div w:id="1365055060">
                              <w:marLeft w:val="0"/>
                              <w:marRight w:val="0"/>
                              <w:marTop w:val="0"/>
                              <w:marBottom w:val="0"/>
                              <w:divBdr>
                                <w:top w:val="none" w:sz="0" w:space="0" w:color="auto"/>
                                <w:left w:val="none" w:sz="0" w:space="0" w:color="auto"/>
                                <w:bottom w:val="none" w:sz="0" w:space="0" w:color="auto"/>
                                <w:right w:val="none" w:sz="0" w:space="0" w:color="auto"/>
                              </w:divBdr>
                              <w:divsChild>
                                <w:div w:id="516501760">
                                  <w:marLeft w:val="0"/>
                                  <w:marRight w:val="0"/>
                                  <w:marTop w:val="0"/>
                                  <w:marBottom w:val="0"/>
                                  <w:divBdr>
                                    <w:top w:val="none" w:sz="0" w:space="0" w:color="auto"/>
                                    <w:left w:val="none" w:sz="0" w:space="0" w:color="auto"/>
                                    <w:bottom w:val="none" w:sz="0" w:space="0" w:color="auto"/>
                                    <w:right w:val="none" w:sz="0" w:space="0" w:color="auto"/>
                                  </w:divBdr>
                                  <w:divsChild>
                                    <w:div w:id="1925142058">
                                      <w:marLeft w:val="0"/>
                                      <w:marRight w:val="0"/>
                                      <w:marTop w:val="0"/>
                                      <w:marBottom w:val="0"/>
                                      <w:divBdr>
                                        <w:top w:val="none" w:sz="0" w:space="0" w:color="auto"/>
                                        <w:left w:val="none" w:sz="0" w:space="0" w:color="auto"/>
                                        <w:bottom w:val="none" w:sz="0" w:space="0" w:color="auto"/>
                                        <w:right w:val="none" w:sz="0" w:space="0" w:color="auto"/>
                                      </w:divBdr>
                                      <w:divsChild>
                                        <w:div w:id="1221944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771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647193">
                                          <w:blockQuote w:val="1"/>
                                          <w:marLeft w:val="720"/>
                                          <w:marRight w:val="720"/>
                                          <w:marTop w:val="100"/>
                                          <w:marBottom w:val="100"/>
                                          <w:divBdr>
                                            <w:top w:val="none" w:sz="0" w:space="0" w:color="auto"/>
                                            <w:left w:val="none" w:sz="0" w:space="0" w:color="auto"/>
                                            <w:bottom w:val="none" w:sz="0" w:space="0" w:color="auto"/>
                                            <w:right w:val="none" w:sz="0" w:space="0" w:color="auto"/>
                                          </w:divBdr>
                                        </w:div>
                                        <w:div w:id="689602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095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32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311166">
          <w:marLeft w:val="0"/>
          <w:marRight w:val="0"/>
          <w:marTop w:val="0"/>
          <w:marBottom w:val="0"/>
          <w:divBdr>
            <w:top w:val="none" w:sz="0" w:space="0" w:color="auto"/>
            <w:left w:val="none" w:sz="0" w:space="0" w:color="auto"/>
            <w:bottom w:val="none" w:sz="0" w:space="0" w:color="auto"/>
            <w:right w:val="none" w:sz="0" w:space="0" w:color="auto"/>
          </w:divBdr>
          <w:divsChild>
            <w:div w:id="748306243">
              <w:marLeft w:val="0"/>
              <w:marRight w:val="0"/>
              <w:marTop w:val="0"/>
              <w:marBottom w:val="0"/>
              <w:divBdr>
                <w:top w:val="none" w:sz="0" w:space="0" w:color="auto"/>
                <w:left w:val="none" w:sz="0" w:space="0" w:color="auto"/>
                <w:bottom w:val="none" w:sz="0" w:space="0" w:color="auto"/>
                <w:right w:val="none" w:sz="0" w:space="0" w:color="auto"/>
              </w:divBdr>
              <w:divsChild>
                <w:div w:id="622463925">
                  <w:marLeft w:val="0"/>
                  <w:marRight w:val="0"/>
                  <w:marTop w:val="0"/>
                  <w:marBottom w:val="0"/>
                  <w:divBdr>
                    <w:top w:val="none" w:sz="0" w:space="0" w:color="auto"/>
                    <w:left w:val="none" w:sz="0" w:space="0" w:color="auto"/>
                    <w:bottom w:val="none" w:sz="0" w:space="0" w:color="auto"/>
                    <w:right w:val="none" w:sz="0" w:space="0" w:color="auto"/>
                  </w:divBdr>
                  <w:divsChild>
                    <w:div w:id="1529562448">
                      <w:marLeft w:val="0"/>
                      <w:marRight w:val="0"/>
                      <w:marTop w:val="0"/>
                      <w:marBottom w:val="0"/>
                      <w:divBdr>
                        <w:top w:val="none" w:sz="0" w:space="0" w:color="auto"/>
                        <w:left w:val="none" w:sz="0" w:space="0" w:color="auto"/>
                        <w:bottom w:val="none" w:sz="0" w:space="0" w:color="auto"/>
                        <w:right w:val="none" w:sz="0" w:space="0" w:color="auto"/>
                      </w:divBdr>
                      <w:divsChild>
                        <w:div w:id="2114087969">
                          <w:marLeft w:val="0"/>
                          <w:marRight w:val="0"/>
                          <w:marTop w:val="0"/>
                          <w:marBottom w:val="0"/>
                          <w:divBdr>
                            <w:top w:val="none" w:sz="0" w:space="0" w:color="auto"/>
                            <w:left w:val="none" w:sz="0" w:space="0" w:color="auto"/>
                            <w:bottom w:val="none" w:sz="0" w:space="0" w:color="auto"/>
                            <w:right w:val="none" w:sz="0" w:space="0" w:color="auto"/>
                          </w:divBdr>
                          <w:divsChild>
                            <w:div w:id="659698545">
                              <w:marLeft w:val="0"/>
                              <w:marRight w:val="0"/>
                              <w:marTop w:val="0"/>
                              <w:marBottom w:val="0"/>
                              <w:divBdr>
                                <w:top w:val="none" w:sz="0" w:space="0" w:color="auto"/>
                                <w:left w:val="none" w:sz="0" w:space="0" w:color="auto"/>
                                <w:bottom w:val="none" w:sz="0" w:space="0" w:color="auto"/>
                                <w:right w:val="none" w:sz="0" w:space="0" w:color="auto"/>
                              </w:divBdr>
                              <w:divsChild>
                                <w:div w:id="2130973772">
                                  <w:marLeft w:val="0"/>
                                  <w:marRight w:val="0"/>
                                  <w:marTop w:val="0"/>
                                  <w:marBottom w:val="0"/>
                                  <w:divBdr>
                                    <w:top w:val="none" w:sz="0" w:space="0" w:color="auto"/>
                                    <w:left w:val="none" w:sz="0" w:space="0" w:color="auto"/>
                                    <w:bottom w:val="none" w:sz="0" w:space="0" w:color="auto"/>
                                    <w:right w:val="none" w:sz="0" w:space="0" w:color="auto"/>
                                  </w:divBdr>
                                  <w:divsChild>
                                    <w:div w:id="735708534">
                                      <w:marLeft w:val="0"/>
                                      <w:marRight w:val="0"/>
                                      <w:marTop w:val="0"/>
                                      <w:marBottom w:val="0"/>
                                      <w:divBdr>
                                        <w:top w:val="none" w:sz="0" w:space="0" w:color="auto"/>
                                        <w:left w:val="none" w:sz="0" w:space="0" w:color="auto"/>
                                        <w:bottom w:val="none" w:sz="0" w:space="0" w:color="auto"/>
                                        <w:right w:val="none" w:sz="0" w:space="0" w:color="auto"/>
                                      </w:divBdr>
                                      <w:divsChild>
                                        <w:div w:id="604116791">
                                          <w:marLeft w:val="0"/>
                                          <w:marRight w:val="0"/>
                                          <w:marTop w:val="0"/>
                                          <w:marBottom w:val="0"/>
                                          <w:divBdr>
                                            <w:top w:val="none" w:sz="0" w:space="0" w:color="auto"/>
                                            <w:left w:val="none" w:sz="0" w:space="0" w:color="auto"/>
                                            <w:bottom w:val="none" w:sz="0" w:space="0" w:color="auto"/>
                                            <w:right w:val="none" w:sz="0" w:space="0" w:color="auto"/>
                                          </w:divBdr>
                                          <w:divsChild>
                                            <w:div w:id="759373907">
                                              <w:marLeft w:val="0"/>
                                              <w:marRight w:val="0"/>
                                              <w:marTop w:val="0"/>
                                              <w:marBottom w:val="0"/>
                                              <w:divBdr>
                                                <w:top w:val="none" w:sz="0" w:space="0" w:color="auto"/>
                                                <w:left w:val="none" w:sz="0" w:space="0" w:color="auto"/>
                                                <w:bottom w:val="none" w:sz="0" w:space="0" w:color="auto"/>
                                                <w:right w:val="none" w:sz="0" w:space="0" w:color="auto"/>
                                              </w:divBdr>
                                              <w:divsChild>
                                                <w:div w:id="54540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2128532">
      <w:bodyDiv w:val="1"/>
      <w:marLeft w:val="0"/>
      <w:marRight w:val="0"/>
      <w:marTop w:val="0"/>
      <w:marBottom w:val="0"/>
      <w:divBdr>
        <w:top w:val="none" w:sz="0" w:space="0" w:color="auto"/>
        <w:left w:val="none" w:sz="0" w:space="0" w:color="auto"/>
        <w:bottom w:val="none" w:sz="0" w:space="0" w:color="auto"/>
        <w:right w:val="none" w:sz="0" w:space="0" w:color="auto"/>
      </w:divBdr>
    </w:div>
    <w:div w:id="1159926986">
      <w:bodyDiv w:val="1"/>
      <w:marLeft w:val="0"/>
      <w:marRight w:val="0"/>
      <w:marTop w:val="0"/>
      <w:marBottom w:val="0"/>
      <w:divBdr>
        <w:top w:val="none" w:sz="0" w:space="0" w:color="auto"/>
        <w:left w:val="none" w:sz="0" w:space="0" w:color="auto"/>
        <w:bottom w:val="none" w:sz="0" w:space="0" w:color="auto"/>
        <w:right w:val="none" w:sz="0" w:space="0" w:color="auto"/>
      </w:divBdr>
    </w:div>
    <w:div w:id="1351222972">
      <w:bodyDiv w:val="1"/>
      <w:marLeft w:val="0"/>
      <w:marRight w:val="0"/>
      <w:marTop w:val="0"/>
      <w:marBottom w:val="0"/>
      <w:divBdr>
        <w:top w:val="none" w:sz="0" w:space="0" w:color="auto"/>
        <w:left w:val="none" w:sz="0" w:space="0" w:color="auto"/>
        <w:bottom w:val="none" w:sz="0" w:space="0" w:color="auto"/>
        <w:right w:val="none" w:sz="0" w:space="0" w:color="auto"/>
      </w:divBdr>
    </w:div>
    <w:div w:id="1618290811">
      <w:bodyDiv w:val="1"/>
      <w:marLeft w:val="0"/>
      <w:marRight w:val="0"/>
      <w:marTop w:val="0"/>
      <w:marBottom w:val="0"/>
      <w:divBdr>
        <w:top w:val="none" w:sz="0" w:space="0" w:color="auto"/>
        <w:left w:val="none" w:sz="0" w:space="0" w:color="auto"/>
        <w:bottom w:val="none" w:sz="0" w:space="0" w:color="auto"/>
        <w:right w:val="none" w:sz="0" w:space="0" w:color="auto"/>
      </w:divBdr>
    </w:div>
    <w:div w:id="1655790893">
      <w:bodyDiv w:val="1"/>
      <w:marLeft w:val="0"/>
      <w:marRight w:val="0"/>
      <w:marTop w:val="0"/>
      <w:marBottom w:val="0"/>
      <w:divBdr>
        <w:top w:val="none" w:sz="0" w:space="0" w:color="auto"/>
        <w:left w:val="none" w:sz="0" w:space="0" w:color="auto"/>
        <w:bottom w:val="none" w:sz="0" w:space="0" w:color="auto"/>
        <w:right w:val="none" w:sz="0" w:space="0" w:color="auto"/>
      </w:divBdr>
    </w:div>
    <w:div w:id="1780831953">
      <w:bodyDiv w:val="1"/>
      <w:marLeft w:val="0"/>
      <w:marRight w:val="0"/>
      <w:marTop w:val="0"/>
      <w:marBottom w:val="0"/>
      <w:divBdr>
        <w:top w:val="none" w:sz="0" w:space="0" w:color="auto"/>
        <w:left w:val="none" w:sz="0" w:space="0" w:color="auto"/>
        <w:bottom w:val="none" w:sz="0" w:space="0" w:color="auto"/>
        <w:right w:val="none" w:sz="0" w:space="0" w:color="auto"/>
      </w:divBdr>
    </w:div>
    <w:div w:id="1828401073">
      <w:bodyDiv w:val="1"/>
      <w:marLeft w:val="0"/>
      <w:marRight w:val="0"/>
      <w:marTop w:val="0"/>
      <w:marBottom w:val="0"/>
      <w:divBdr>
        <w:top w:val="none" w:sz="0" w:space="0" w:color="auto"/>
        <w:left w:val="none" w:sz="0" w:space="0" w:color="auto"/>
        <w:bottom w:val="none" w:sz="0" w:space="0" w:color="auto"/>
        <w:right w:val="none" w:sz="0" w:space="0" w:color="auto"/>
      </w:divBdr>
    </w:div>
    <w:div w:id="1857495067">
      <w:bodyDiv w:val="1"/>
      <w:marLeft w:val="0"/>
      <w:marRight w:val="0"/>
      <w:marTop w:val="0"/>
      <w:marBottom w:val="0"/>
      <w:divBdr>
        <w:top w:val="none" w:sz="0" w:space="0" w:color="auto"/>
        <w:left w:val="none" w:sz="0" w:space="0" w:color="auto"/>
        <w:bottom w:val="none" w:sz="0" w:space="0" w:color="auto"/>
        <w:right w:val="none" w:sz="0" w:space="0" w:color="auto"/>
      </w:divBdr>
    </w:div>
    <w:div w:id="1859082454">
      <w:bodyDiv w:val="1"/>
      <w:marLeft w:val="0"/>
      <w:marRight w:val="0"/>
      <w:marTop w:val="0"/>
      <w:marBottom w:val="0"/>
      <w:divBdr>
        <w:top w:val="none" w:sz="0" w:space="0" w:color="auto"/>
        <w:left w:val="none" w:sz="0" w:space="0" w:color="auto"/>
        <w:bottom w:val="none" w:sz="0" w:space="0" w:color="auto"/>
        <w:right w:val="none" w:sz="0" w:space="0" w:color="auto"/>
      </w:divBdr>
    </w:div>
    <w:div w:id="1877961540">
      <w:bodyDiv w:val="1"/>
      <w:marLeft w:val="0"/>
      <w:marRight w:val="0"/>
      <w:marTop w:val="0"/>
      <w:marBottom w:val="0"/>
      <w:divBdr>
        <w:top w:val="none" w:sz="0" w:space="0" w:color="auto"/>
        <w:left w:val="none" w:sz="0" w:space="0" w:color="auto"/>
        <w:bottom w:val="none" w:sz="0" w:space="0" w:color="auto"/>
        <w:right w:val="none" w:sz="0" w:space="0" w:color="auto"/>
      </w:divBdr>
    </w:div>
    <w:div w:id="1927617784">
      <w:bodyDiv w:val="1"/>
      <w:marLeft w:val="0"/>
      <w:marRight w:val="0"/>
      <w:marTop w:val="0"/>
      <w:marBottom w:val="0"/>
      <w:divBdr>
        <w:top w:val="none" w:sz="0" w:space="0" w:color="auto"/>
        <w:left w:val="none" w:sz="0" w:space="0" w:color="auto"/>
        <w:bottom w:val="none" w:sz="0" w:space="0" w:color="auto"/>
        <w:right w:val="none" w:sz="0" w:space="0" w:color="auto"/>
      </w:divBdr>
    </w:div>
    <w:div w:id="2043045506">
      <w:bodyDiv w:val="1"/>
      <w:marLeft w:val="0"/>
      <w:marRight w:val="0"/>
      <w:marTop w:val="0"/>
      <w:marBottom w:val="0"/>
      <w:divBdr>
        <w:top w:val="none" w:sz="0" w:space="0" w:color="auto"/>
        <w:left w:val="none" w:sz="0" w:space="0" w:color="auto"/>
        <w:bottom w:val="none" w:sz="0" w:space="0" w:color="auto"/>
        <w:right w:val="none" w:sz="0" w:space="0" w:color="auto"/>
      </w:divBdr>
    </w:div>
    <w:div w:id="20671464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6</Pages>
  <Words>1477</Words>
  <Characters>8419</Characters>
  <Application>Microsoft Office Word</Application>
  <DocSecurity>0</DocSecurity>
  <Lines>70</Lines>
  <Paragraphs>19</Paragraphs>
  <ScaleCrop>false</ScaleCrop>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Gong, Shuang</cp:lastModifiedBy>
  <cp:revision>9</cp:revision>
  <dcterms:created xsi:type="dcterms:W3CDTF">2026-04-06T01:24:00Z</dcterms:created>
  <dcterms:modified xsi:type="dcterms:W3CDTF">2026-04-11T02:51:00Z</dcterms:modified>
</cp:coreProperties>
</file>