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  <w:t>OBD-II is a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  <w:t> </w:t>
      </w:r>
      <w:r>
        <w:rPr>
          <w:rStyle w:val="3"/>
          <w:rFonts w:hint="default" w:ascii="Arial" w:hAnsi="Arial" w:eastAsia="SimSun" w:cs="Arial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higher-level protocol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  <w:t> used for diagnostic purposes. OBD-II can use one of (many) different bus systems to transfer diagnostic data from and to your car. Think of OBD-II as a </w:t>
      </w:r>
      <w:r>
        <w:rPr>
          <w:rStyle w:val="3"/>
          <w:rFonts w:hint="default" w:ascii="Arial" w:hAnsi="Arial" w:eastAsia="SimSun" w:cs="Arial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language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  <w:t> (English) that you speak and of CAN as the </w:t>
      </w:r>
      <w:r>
        <w:rPr>
          <w:rStyle w:val="3"/>
          <w:rFonts w:hint="default" w:ascii="Arial" w:hAnsi="Arial" w:eastAsia="SimSun" w:cs="Arial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communication device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  <w:t> (telephone) you use to talk to someone (about your car and its state of health ;).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56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2018-12-05T07:18:27Z</dcterms:created>
  <dc:creator>schevvakula</dc:creator>
  <cp:lastModifiedBy>schevvakula</cp:lastModifiedBy>
  <dcterms:modified xsi:type="dcterms:W3CDTF">2018-12-05T07:18:32Z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