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DTU Grocery Compare</w:t>
      </w:r>
    </w:p>
    <w:p>
      <w:pPr>
        <w:pStyle w:val="Subtitle"/>
      </w:pPr>
      <w:r>
        <w:t>Detailed Architecture and Engineering Design</w:t>
      </w:r>
    </w:p>
    <w:tbl>
      <w:tblPr>
        <w:tblW w:type="auto" w:w="0"/>
        <w:jc w:val="left"/>
        <w:tblLook w:firstColumn="1" w:firstRow="1" w:lastColumn="0" w:lastRow="0" w:noHBand="0" w:noVBand="1" w:val="04A0"/>
      </w:tblPr>
      <w:tblGrid>
        <w:gridCol w:w="10166"/>
      </w:tblGrid>
      <w:tr>
        <w:tc>
          <w:tcPr>
            <w:tcW w:type="dxa" w:w="10166"/>
            <w:shd w:fill="D9EAF7"/>
            <w:tcMar>
              <w:top w:w="110" w:type="dxa"/>
              <w:start w:w="130" w:type="dxa"/>
              <w:bottom w:w="110" w:type="dxa"/>
              <w:end w:w="130" w:type="dxa"/>
            </w:tcMar>
            <w:tcBorders>
              <w:top w:val="single" w:sz="5" w:space="0" w:color="B4C6E7"/>
              <w:left w:val="single" w:sz="5" w:space="0" w:color="B4C6E7"/>
              <w:bottom w:val="single" w:sz="5" w:space="0" w:color="B4C6E7"/>
              <w:right w:val="single" w:sz="5" w:space="0" w:color="B4C6E7"/>
              <w:insideH w:val="single" w:sz="5" w:space="0" w:color="B4C6E7"/>
              <w:insideV w:val="single" w:sz="5" w:space="0" w:color="B4C6E7"/>
            </w:tcBorders>
          </w:tcPr>
          <w:p>
            <w:pPr>
              <w:spacing w:after="0"/>
            </w:pPr>
            <w:r>
              <w:rPr>
                <w:rFonts w:ascii="Lato" w:hAnsi="Lato"/>
                <w:b/>
                <w:color w:val="17365D"/>
                <w:sz w:val="18"/>
              </w:rPr>
              <w:t>Supporting submission document | Fixed location: Delhi Technological University (DTU)</w:t>
            </w:r>
          </w:p>
        </w:tc>
      </w:tr>
    </w:tbl>
    <w:p/>
    <w:p>
      <w:r>
        <w:t>This document describes the architecture behind the V1 grocery comparison prototype, with emphasis on separation of concerns, provider isolation, conservative product identity, quantity-aware pricing, graceful degradation, and a clear path from prototype to production.</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Core design principle: </w:t>
            </w:r>
            <w:r>
              <w:t>Treat data acquisition, product identity, and product pricing as three different problems. Provider behavior can change without forcing changes to the matcher or pricing engine.</w:t>
            </w:r>
          </w:p>
        </w:tc>
      </w:tr>
    </w:tbl>
    <w:p>
      <w:r>
        <w:br w:type="page"/>
      </w:r>
    </w:p>
    <w:p>
      <w:pPr>
        <w:pStyle w:val="Heading1"/>
      </w:pPr>
      <w:r>
        <w:t>Contents</w:t>
      </w:r>
    </w:p>
    <w:tbl>
      <w:tblPr>
        <w:tblW w:type="auto" w:w="0"/>
        <w:jc w:val="left"/>
        <w:tblLook w:firstColumn="1" w:firstRow="1" w:lastColumn="0" w:lastRow="0" w:noHBand="0" w:noVBand="1" w:val="04A0"/>
      </w:tblPr>
      <w:tblGrid>
        <w:gridCol w:w="5083"/>
        <w:gridCol w:w="5083"/>
      </w:tblGrid>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Purpose and scope</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2</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High-level architecture</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3</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Technology choices</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4</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Provider abstraction and selection</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5</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Location model</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6</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Common product model</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7</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Relevance filtering</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8</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Normalization</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9</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Product identity and matching</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10</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Selective enrichment</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11</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Instamart bundle consolidation</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12</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Quantity-aware pricing</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13</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Caching and freshness</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14</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Failure isolation and concurrency</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15</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Security and configuration</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16</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UI transparency</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17</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Testing strategy</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18</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Scaling path</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19</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Production evolution</w:t>
            </w:r>
          </w:p>
        </w:tc>
      </w:tr>
      <w:tr>
        <w:tc>
          <w:tcPr>
            <w:tcW w:type="dxa" w:w="504"/>
            <w:tcMar>
              <w:top w:w="35" w:type="dxa"/>
              <w:start w:w="45" w:type="dxa"/>
              <w:bottom w:w="35" w:type="dxa"/>
              <w:end w:w="45" w:type="dxa"/>
            </w:tcMar>
            <w:tcBorders>
              <w:top w:val="nil"/>
              <w:left w:val="nil"/>
              <w:bottom w:val="nil"/>
              <w:right w:val="nil"/>
              <w:insideH w:val="nil"/>
              <w:insideV w:val="nil"/>
            </w:tcBorders>
          </w:tcPr>
          <w:p>
            <w:pPr>
              <w:spacing w:after="0"/>
            </w:pPr>
            <w:r>
              <w:rPr>
                <w:sz w:val="17"/>
              </w:rPr>
              <w:t>20</w:t>
            </w:r>
          </w:p>
        </w:tc>
        <w:tc>
          <w:tcPr>
            <w:tcW w:type="dxa" w:w="5083"/>
            <w:tcMar>
              <w:top w:w="35" w:type="dxa"/>
              <w:start w:w="45" w:type="dxa"/>
              <w:bottom w:w="35" w:type="dxa"/>
              <w:end w:w="45" w:type="dxa"/>
            </w:tcMar>
            <w:tcBorders>
              <w:top w:val="nil"/>
              <w:left w:val="nil"/>
              <w:bottom w:val="nil"/>
              <w:right w:val="nil"/>
              <w:insideH w:val="nil"/>
              <w:insideV w:val="nil"/>
            </w:tcBorders>
          </w:tcPr>
          <w:p>
            <w:pPr>
              <w:spacing w:after="0"/>
            </w:pPr>
            <w:r>
              <w:rPr>
                <w:sz w:val="17"/>
              </w:rPr>
              <w:t>Design invariants</w:t>
            </w:r>
          </w:p>
        </w:tc>
      </w:tr>
    </w:tbl>
    <w:p>
      <w:r>
        <w:br w:type="page"/>
      </w:r>
    </w:p>
    <w:p>
      <w:pPr>
        <w:pStyle w:val="Heading1"/>
      </w:pPr>
      <w:r>
        <w:t>1. Purpose and scope</w:t>
      </w:r>
    </w:p>
    <w:p>
      <w:r>
        <w:t>DTU Grocery Compare compares grocery listings available for delivery to Delhi Technological University across Blinkit and Swiggy Instamart. The user enters a product query and a desired quantity; the system identifies equivalent or comparable listings and calculates which platform has the lower visible item-level price for that quantity.</w:t>
      </w:r>
    </w:p>
    <w:p>
      <w:r>
        <w:t>The difficult part is not rendering two prices. The difficult part is deciding what those prices refer to when two platforms maintain different catalogs, titles, sizes, variants, sponsored results, and multi-buy structures.</w:t>
      </w:r>
    </w:p>
    <w:p>
      <w:pPr>
        <w:pStyle w:val="ListBullet"/>
        <w:spacing w:after="30"/>
      </w:pPr>
      <w:r>
        <w:t>Different titles for the same physical SKU.</w:t>
      </w:r>
    </w:p>
    <w:p>
      <w:pPr>
        <w:pStyle w:val="ListBullet"/>
        <w:spacing w:after="30"/>
      </w:pPr>
      <w:r>
        <w:t>Different notation for size and pack count.</w:t>
      </w:r>
    </w:p>
    <w:p>
      <w:pPr>
        <w:pStyle w:val="ListBullet"/>
        <w:spacing w:after="30"/>
      </w:pPr>
      <w:r>
        <w:t>Variant information present on one platform and missing on the other.</w:t>
      </w:r>
    </w:p>
    <w:p>
      <w:pPr>
        <w:pStyle w:val="ListBullet"/>
        <w:spacing w:after="30"/>
      </w:pPr>
      <w:r>
        <w:t>Sponsored or loosely related search results.</w:t>
      </w:r>
    </w:p>
    <w:p>
      <w:pPr>
        <w:pStyle w:val="ListBullet"/>
        <w:spacing w:after="30"/>
      </w:pPr>
      <w:r>
        <w:t>Multi-buy offers represented as separate catalog rows.</w:t>
      </w:r>
    </w:p>
    <w:p>
      <w:pPr>
        <w:pStyle w:val="ListBullet"/>
        <w:spacing w:after="30"/>
      </w:pPr>
      <w:r>
        <w:t>Search cards with incomplete size or flavour metadata.</w:t>
      </w:r>
    </w:p>
    <w:p>
      <w:pPr>
        <w:pStyle w:val="ListBullet"/>
        <w:spacing w:after="30"/>
      </w:pPr>
      <w:r>
        <w:t>Provider-specific failures and freshness differences.</w:t>
      </w:r>
    </w:p>
    <w:tbl>
      <w:tblPr>
        <w:tblW w:type="auto" w:w="0"/>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Borders>
              <w:top w:val="single" w:sz="5" w:space="0" w:color="D6B656"/>
              <w:left w:val="single" w:sz="5" w:space="0" w:color="D6B656"/>
              <w:bottom w:val="single" w:sz="5" w:space="0" w:color="D6B656"/>
              <w:right w:val="single" w:sz="5" w:space="0" w:color="D6B656"/>
              <w:insideH w:val="single" w:sz="5" w:space="0" w:color="D6B656"/>
              <w:insideV w:val="single" w:sz="5" w:space="0" w:color="D6B656"/>
            </w:tcBorders>
          </w:tcPr>
          <w:p>
            <w:r>
              <w:rPr>
                <w:b/>
                <w:color w:val="17365D"/>
              </w:rPr>
              <w:t xml:space="preserve">V1 scope: </w:t>
            </w:r>
            <w:r>
              <w:t>Location is fixed to DTU. The app compares visible item-level pricing and intentionally excludes checkout-only coupons, payment offers, membership benefits, delivery fees, and user-specific promotions.</w:t>
            </w:r>
          </w:p>
        </w:tc>
      </w:tr>
    </w:tbl>
    <w:p>
      <w:r>
        <w:br w:type="page"/>
      </w:r>
    </w:p>
    <w:p>
      <w:pPr>
        <w:pStyle w:val="Heading1"/>
      </w:pPr>
      <w:r>
        <w:t>2. High-level architecture</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Browser</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Single-Page UI (HTML/CSS/JavaScript)</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FastAPI</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SearchService</w:t>
            </w:r>
            <w:r>
              <w:br/>
            </w:r>
            <w:r>
              <w:rPr>
                <w:rFonts w:ascii="DejaVu Sans Mono" w:hAnsi="DejaVu Sans Mono"/>
                <w:sz w:val="16"/>
              </w:rPr>
              <w:t xml:space="preserve">   |</w:t>
            </w:r>
            <w:r>
              <w:br/>
            </w:r>
            <w:r>
              <w:rPr>
                <w:rFonts w:ascii="DejaVu Sans Mono" w:hAnsi="DejaVu Sans Mono"/>
                <w:sz w:val="16"/>
              </w:rPr>
              <w:t xml:space="preserve">   +------------------------------+</w:t>
            </w:r>
            <w:r>
              <w:br/>
            </w:r>
            <w:r>
              <w:rPr>
                <w:rFonts w:ascii="DejaVu Sans Mono" w:hAnsi="DejaVu Sans Mono"/>
                <w:sz w:val="16"/>
              </w:rPr>
              <w:t xml:space="preserve">   |                              |</w:t>
            </w:r>
            <w:r>
              <w:br/>
            </w:r>
            <w:r>
              <w:rPr>
                <w:rFonts w:ascii="DejaVu Sans Mono" w:hAnsi="DejaVu Sans Mono"/>
                <w:sz w:val="16"/>
              </w:rPr>
              <w:t xml:space="preserve">   v                              v</w:t>
            </w:r>
            <w:r>
              <w:br/>
            </w:r>
            <w:r>
              <w:rPr>
                <w:rFonts w:ascii="DejaVu Sans Mono" w:hAnsi="DejaVu Sans Mono"/>
                <w:sz w:val="16"/>
              </w:rPr>
              <w:t>BlinkitProvider          QuickCommerceInstamartProvider</w:t>
            </w:r>
            <w:r>
              <w:br/>
            </w:r>
            <w:r>
              <w:rPr>
                <w:rFonts w:ascii="DejaVu Sans Mono" w:hAnsi="DejaVu Sans Mono"/>
                <w:sz w:val="16"/>
              </w:rPr>
              <w:t>Playwright / LIVE        Structured API / LIVE</w:t>
            </w:r>
            <w:r>
              <w:br/>
            </w:r>
            <w:r>
              <w:rPr>
                <w:rFonts w:ascii="DejaVu Sans Mono" w:hAnsi="DejaVu Sans Mono"/>
                <w:sz w:val="16"/>
              </w:rPr>
              <w:t xml:space="preserve">   |                              |</w:t>
            </w:r>
            <w:r>
              <w:br/>
            </w:r>
            <w:r>
              <w:rPr>
                <w:rFonts w:ascii="DejaVu Sans Mono" w:hAnsi="DejaVu Sans Mono"/>
                <w:sz w:val="16"/>
              </w:rPr>
              <w:t xml:space="preserve">   |                              +---- failure / no key ----+</w:t>
            </w:r>
            <w:r>
              <w:br/>
            </w:r>
            <w:r>
              <w:rPr>
                <w:rFonts w:ascii="DejaVu Sans Mono" w:hAnsi="DejaVu Sans Mono"/>
                <w:sz w:val="16"/>
              </w:rPr>
              <w:t xml:space="preserve">   |                                                        |</w:t>
            </w:r>
            <w:r>
              <w:br/>
            </w:r>
            <w:r>
              <w:rPr>
                <w:rFonts w:ascii="DejaVu Sans Mono" w:hAnsi="DejaVu Sans Mono"/>
                <w:sz w:val="16"/>
              </w:rPr>
              <w:t xml:space="preserve">   |                                                        v</w:t>
            </w:r>
            <w:r>
              <w:br/>
            </w:r>
            <w:r>
              <w:rPr>
                <w:rFonts w:ascii="DejaVu Sans Mono" w:hAnsi="DejaVu Sans Mono"/>
                <w:sz w:val="16"/>
              </w:rPr>
              <w:t xml:space="preserve">   |                                             InstamartSnapshotProvider</w:t>
            </w:r>
            <w:r>
              <w:br/>
            </w:r>
            <w:r>
              <w:rPr>
                <w:rFonts w:ascii="DejaVu Sans Mono" w:hAnsi="DejaVu Sans Mono"/>
                <w:sz w:val="16"/>
              </w:rPr>
              <w:t xml:space="preserve">   |                                                   SNAPSHOT</w:t>
            </w:r>
            <w:r>
              <w:br/>
            </w:r>
            <w:r>
              <w:rPr>
                <w:rFonts w:ascii="DejaVu Sans Mono" w:hAnsi="DejaVu Sans Mono"/>
                <w:sz w:val="16"/>
              </w:rPr>
              <w:t xml:space="preserve">   +------------------------------+-------------------------+</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 xml:space="preserve">                         Raw product listings</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 xml:space="preserve">                         Query relevance filter</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 xml:space="preserve">                              Normalizer</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 xml:space="preserve">                     Selective detail enrichment</w:t>
            </w:r>
            <w:r>
              <w:br/>
            </w:r>
            <w:r>
              <w:rPr>
                <w:rFonts w:ascii="DejaVu Sans Mono" w:hAnsi="DejaVu Sans Mono"/>
                <w:sz w:val="16"/>
              </w:rPr>
              <w:t xml:space="preserve">                         (Blinkit, when needed)</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 xml:space="preserve">                               Matcher</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 xml:space="preserve">                      Quantity pricing engine</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 xml:space="preserve">                        Comparison API response</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 xml:space="preserve">                                  UI</w:t>
            </w:r>
          </w:p>
        </w:tc>
      </w:tr>
    </w:tbl>
    <w:p>
      <w:r>
        <w:t>The architecture is intentionally layered. Provider-specific extraction is responsible only for acquiring product facts. Normalization and matching decide what the products mean. Pricing decides the cost of the selected quantity. The UI only presents the comparison and the source/freshness state.</w:t>
      </w:r>
    </w:p>
    <w:p>
      <w:r>
        <w:br w:type="page"/>
      </w:r>
    </w:p>
    <w:p>
      <w:pPr>
        <w:pStyle w:val="Heading1"/>
      </w:pPr>
      <w:r>
        <w:t>3. Technology choices</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17365D"/>
            <w:tcMar>
              <w:top w:w="75" w:type="dxa"/>
              <w:start w:w="80" w:type="dxa"/>
              <w:bottom w:w="75" w:type="dxa"/>
              <w:end w:w="80" w:type="dxa"/>
            </w:tcMa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Pr>
          <w:p>
            <w:r>
              <w:rPr>
                <w:b/>
                <w:color w:val="FFFFFF"/>
                <w:sz w:val="17"/>
              </w:rPr>
              <w:t>Area</w:t>
            </w:r>
          </w:p>
        </w:tc>
        <w:tc>
          <w:tcPr>
            <w:tcW w:type="dxa" w:w="3389"/>
            <w:shd w:fill="17365D"/>
            <w:tcMar>
              <w:top w:w="75" w:type="dxa"/>
              <w:start w:w="80" w:type="dxa"/>
              <w:bottom w:w="75" w:type="dxa"/>
              <w:end w:w="80" w:type="dxa"/>
            </w:tcMa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Pr>
          <w:p>
            <w:r>
              <w:rPr>
                <w:b/>
                <w:color w:val="FFFFFF"/>
                <w:sz w:val="17"/>
              </w:rPr>
              <w:t>Choice</w:t>
            </w:r>
          </w:p>
        </w:tc>
        <w:tc>
          <w:tcPr>
            <w:tcW w:type="dxa" w:w="3389"/>
            <w:shd w:fill="17365D"/>
            <w:tcMar>
              <w:top w:w="75" w:type="dxa"/>
              <w:start w:w="80" w:type="dxa"/>
              <w:bottom w:w="75" w:type="dxa"/>
              <w:end w:w="80" w:type="dxa"/>
            </w:tcMa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Pr>
          <w:p>
            <w:r>
              <w:rPr>
                <w:b/>
                <w:color w:val="FFFFFF"/>
                <w:sz w:val="17"/>
              </w:rPr>
              <w:t>Reason</w:t>
            </w:r>
          </w:p>
        </w:tc>
      </w:tr>
      <w:tr>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Backend</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FastAPI</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Small asynchronous API surface, clean lifespan hooks, JSON-first responses, low ceremony.</w:t>
            </w:r>
          </w:p>
        </w:tc>
      </w:tr>
      <w:tr>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Blinkit acquisition</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Playwright</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Blinkit catalog is JavaScript-rendered and location-aware; browser state must be established.</w:t>
            </w:r>
          </w:p>
        </w:tc>
      </w:tr>
      <w:tr>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Instamart acquisition</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Third-party structured quick-commerce API</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Provides structured Swiggy catalog results by location without relying on blocked browser automation.</w:t>
            </w:r>
          </w:p>
        </w:tc>
      </w:tr>
      <w:tr>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Instamart fallback</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Timestamped manual snapshots</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Keeps the demo runnable without credentials or when the live dependency is unavailable.</w:t>
            </w:r>
          </w:p>
        </w:tc>
      </w:tr>
      <w:tr>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Frontend</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Vanilla HTML/CSS/JavaScript</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Avoids framework overhead for a small single-page comparison UI.</w:t>
            </w:r>
          </w:p>
        </w:tc>
      </w:tr>
      <w:tr>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Matching</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Rule constraints + fuzzy similarity</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Combines hard product invariants with tolerant title comparison.</w:t>
            </w:r>
          </w:p>
        </w:tc>
      </w:tr>
      <w:tr>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Cache</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In-memory V1 cache</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Enough for a single-process prototype and avoids unnecessary upstream calls.</w:t>
            </w:r>
          </w:p>
        </w:tc>
      </w:tr>
    </w:tbl>
    <w:p>
      <w:pPr>
        <w:pStyle w:val="Heading2"/>
      </w:pPr>
      <w:r>
        <w:t>Why not plain HTTP/BeautifulSoup for Blinkit?</w:t>
      </w:r>
    </w:p>
    <w:p>
      <w:r>
        <w:t>The visible catalog depends on client-side rendering and delivery location state. A static HTTP fetch does not reproduce the same browser behavior reliably. Playwright was therefore a better fit for this prototype.</w:t>
      </w:r>
    </w:p>
    <w:p>
      <w:pPr>
        <w:pStyle w:val="Heading2"/>
      </w:pPr>
      <w:r>
        <w:t>Why not private or undocumented provider APIs?</w:t>
      </w:r>
    </w:p>
    <w:p>
      <w:r>
        <w:t>The project deliberately avoids reverse-engineering provider internals. Undocumented endpoints are brittle and would shift the exercise away from product comparison toward private API discovery.</w:t>
      </w:r>
    </w:p>
    <w:p>
      <w:r>
        <w:br w:type="page"/>
      </w:r>
    </w:p>
    <w:p>
      <w:pPr>
        <w:pStyle w:val="Heading1"/>
      </w:pPr>
      <w:r>
        <w:t>4. Provider abstraction and selection</w:t>
      </w:r>
    </w:p>
    <w:p>
      <w:r>
        <w:t>All upstream acquisition is isolated behind provider implementations with a common search contract. Conceptually:</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class GroceryProvider:</w:t>
            </w:r>
            <w:r>
              <w:br/>
            </w:r>
            <w:r>
              <w:rPr>
                <w:rFonts w:ascii="DejaVu Sans Mono" w:hAnsi="DejaVu Sans Mono"/>
                <w:sz w:val="16"/>
              </w:rPr>
              <w:t xml:space="preserve">    async def search(self, query: str) -&gt; list[ProductListing]:</w:t>
            </w:r>
            <w:r>
              <w:br/>
            </w:r>
            <w:r>
              <w:rPr>
                <w:rFonts w:ascii="DejaVu Sans Mono" w:hAnsi="DejaVu Sans Mono"/>
                <w:sz w:val="16"/>
              </w:rPr>
              <w:t xml:space="preserve">        ...</w:t>
            </w:r>
          </w:p>
        </w:tc>
      </w:tr>
    </w:tbl>
    <w:tbl>
      <w:tblPr>
        <w:tblW w:type="auto" w:w="0"/>
        <w:jc w:val="center"/>
        <w:tblLayout w:type="autofit"/>
        <w:tblLook w:firstColumn="1" w:firstRow="1" w:lastColumn="0" w:lastRow="0" w:noHBand="0" w:noVBand="1" w:val="04A0"/>
      </w:tblPr>
      <w:tblGrid>
        <w:gridCol w:w="3389"/>
        <w:gridCol w:w="3389"/>
        <w:gridCol w:w="3389"/>
      </w:tblGrid>
      <w:tr>
        <w:tc>
          <w:tcPr>
            <w:tcW w:type="dxa" w:w="3389"/>
            <w:shd w:fill="17365D"/>
            <w:tcMar>
              <w:top w:w="75" w:type="dxa"/>
              <w:start w:w="80" w:type="dxa"/>
              <w:bottom w:w="75" w:type="dxa"/>
              <w:end w:w="80" w:type="dxa"/>
            </w:tcMa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Pr>
          <w:p>
            <w:r>
              <w:rPr>
                <w:b/>
                <w:color w:val="FFFFFF"/>
                <w:sz w:val="17"/>
              </w:rPr>
              <w:t>Provider</w:t>
            </w:r>
          </w:p>
        </w:tc>
        <w:tc>
          <w:tcPr>
            <w:tcW w:type="dxa" w:w="3389"/>
            <w:shd w:fill="17365D"/>
            <w:tcMar>
              <w:top w:w="75" w:type="dxa"/>
              <w:start w:w="80" w:type="dxa"/>
              <w:bottom w:w="75" w:type="dxa"/>
              <w:end w:w="80" w:type="dxa"/>
            </w:tcMa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Pr>
          <w:p>
            <w:r>
              <w:rPr>
                <w:b/>
                <w:color w:val="FFFFFF"/>
                <w:sz w:val="17"/>
              </w:rPr>
              <w:t>Default role</w:t>
            </w:r>
          </w:p>
        </w:tc>
        <w:tc>
          <w:tcPr>
            <w:tcW w:type="dxa" w:w="3389"/>
            <w:shd w:fill="17365D"/>
            <w:tcMar>
              <w:top w:w="75" w:type="dxa"/>
              <w:start w:w="80" w:type="dxa"/>
              <w:bottom w:w="75" w:type="dxa"/>
              <w:end w:w="80" w:type="dxa"/>
            </w:tcMa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Pr>
          <w:p>
            <w:r>
              <w:rPr>
                <w:b/>
                <w:color w:val="FFFFFF"/>
                <w:sz w:val="17"/>
              </w:rPr>
              <w:t>Source state</w:t>
            </w:r>
          </w:p>
        </w:tc>
      </w:tr>
      <w:tr>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BlinkitProvider</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Blinkit desktop acquisition through Playwright</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LIVE</w:t>
            </w:r>
          </w:p>
        </w:tc>
      </w:tr>
      <w:tr>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QuickCommerceInstamartProvider</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Preferred Instamart source when API key is configured</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LIVE</w:t>
            </w:r>
          </w:p>
        </w:tc>
      </w:tr>
      <w:tr>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InstamartSnapshotProvider</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Graceful fallback and credential-free demo path</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SNAPSHOT</w:t>
            </w:r>
          </w:p>
        </w:tc>
      </w:tr>
      <w:tr>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InstamartProvider</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Original browser-based implementation retained for architecture/history</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Disabled in normal startup</w:t>
            </w:r>
          </w:p>
        </w:tc>
      </w:tr>
    </w:tbl>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QUICKCOMMERCE_API_KEY present</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QuickCommerceInstamartProvider</w:t>
            </w:r>
            <w:r>
              <w:br/>
            </w:r>
            <w:r>
              <w:rPr>
                <w:rFonts w:ascii="DejaVu Sans Mono" w:hAnsi="DejaVu Sans Mono"/>
                <w:sz w:val="16"/>
              </w:rPr>
              <w:t xml:space="preserve">        |</w:t>
            </w:r>
            <w:r>
              <w:br/>
            </w:r>
            <w:r>
              <w:rPr>
                <w:rFonts w:ascii="DejaVu Sans Mono" w:hAnsi="DejaVu Sans Mono"/>
                <w:sz w:val="16"/>
              </w:rPr>
              <w:t xml:space="preserve">        +-- success ------------&gt; LIVE</w:t>
            </w:r>
            <w:r>
              <w:br/>
            </w:r>
            <w:r>
              <w:rPr>
                <w:rFonts w:ascii="DejaVu Sans Mono" w:hAnsi="DejaVu Sans Mono"/>
                <w:sz w:val="16"/>
              </w:rPr>
              <w:t xml:space="preserve">        |</w:t>
            </w:r>
            <w:r>
              <w:br/>
            </w:r>
            <w:r>
              <w:rPr>
                <w:rFonts w:ascii="DejaVu Sans Mono" w:hAnsi="DejaVu Sans Mono"/>
                <w:sz w:val="16"/>
              </w:rPr>
              <w:t xml:space="preserve">        +-- timeout/error ------&gt; InstamartSnapshotProvider -&gt; SNAPSHOT</w:t>
            </w:r>
            <w:r>
              <w:br/>
            </w:r>
            <w:r>
              <w:rPr>
                <w:rFonts w:ascii="DejaVu Sans Mono" w:hAnsi="DejaVu Sans Mono"/>
                <w:sz w:val="16"/>
              </w:rPr>
            </w:r>
            <w:r>
              <w:br/>
            </w:r>
            <w:r>
              <w:rPr>
                <w:rFonts w:ascii="DejaVu Sans Mono" w:hAnsi="DejaVu Sans Mono"/>
                <w:sz w:val="16"/>
              </w:rPr>
              <w:t>No API key</w:t>
            </w:r>
            <w:r>
              <w:br/>
            </w:r>
            <w:r>
              <w:rPr>
                <w:rFonts w:ascii="DejaVu Sans Mono" w:hAnsi="DejaVu Sans Mono"/>
                <w:sz w:val="16"/>
              </w:rPr>
              <w:t xml:space="preserve">        |</w:t>
            </w:r>
            <w:r>
              <w:br/>
            </w:r>
            <w:r>
              <w:rPr>
                <w:rFonts w:ascii="DejaVu Sans Mono" w:hAnsi="DejaVu Sans Mono"/>
                <w:sz w:val="16"/>
              </w:rPr>
              <w:t xml:space="preserve">        +-----------------------&gt; InstamartSnapshotProvider -&gt; SNAPSHOT</w:t>
            </w:r>
          </w:p>
        </w:tc>
      </w:tr>
    </w:tbl>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Important: </w:t>
            </w:r>
            <w:r>
              <w:t>The UI never labels fallback snapshot data as live. Acquisition source is part of the response contract, not an implementation detail.</w:t>
            </w:r>
          </w:p>
        </w:tc>
      </w:tr>
    </w:tbl>
    <w:p>
      <w:pPr>
        <w:pStyle w:val="Heading1"/>
      </w:pPr>
      <w:r>
        <w:t>5. Location model</w:t>
      </w:r>
    </w:p>
    <w:p>
      <w:r>
        <w:t>The V1 problem is intentionally scoped to Delhi Technological University. Blinkit establishes DTU as the delivery location in its browser session. The Instamart data provider is queried using the fixed DTU coordinates. This keeps the initial product-comparison problem focused while preserving a clean location boundary for future expansion.</w:t>
      </w:r>
    </w:p>
    <w:p>
      <w:r>
        <w:t>Location belongs to provider context and caching, not to product identity. The same SKU can have different availability and price at different delivery regions.</w:t>
      </w:r>
    </w:p>
    <w:p>
      <w:pPr>
        <w:pStyle w:val="Heading1"/>
      </w:pPr>
      <w:r>
        <w:t>6. Common product model</w:t>
      </w:r>
    </w:p>
    <w:p>
      <w:r>
        <w:t>Each provider result is converted to a common internal representation before matching. Typical fields include:</w:t>
      </w:r>
    </w:p>
    <w:tbl>
      <w:tblPr>
        <w:tblW w:type="auto" w:w="0"/>
        <w:jc w:val="center"/>
        <w:tblLayout w:type="autofit"/>
        <w:tblLook w:firstColumn="1" w:firstRow="1" w:lastColumn="0" w:lastRow="0" w:noHBand="0" w:noVBand="1" w:val="04A0"/>
      </w:tblPr>
      <w:tblGrid>
        <w:gridCol w:w="5083"/>
        <w:gridCol w:w="5083"/>
      </w:tblGrid>
      <w:tr>
        <w:tc>
          <w:tcPr>
            <w:tcW w:type="dxa" w:w="5083"/>
            <w:shd w:fill="17365D"/>
            <w:tcMar>
              <w:top w:w="75" w:type="dxa"/>
              <w:start w:w="80" w:type="dxa"/>
              <w:bottom w:w="75" w:type="dxa"/>
              <w:end w:w="80" w:type="dxa"/>
            </w:tcMa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Pr>
          <w:p>
            <w:r>
              <w:rPr>
                <w:b/>
                <w:color w:val="FFFFFF"/>
                <w:sz w:val="17"/>
              </w:rPr>
              <w:t>Field group</w:t>
            </w:r>
          </w:p>
        </w:tc>
        <w:tc>
          <w:tcPr>
            <w:tcW w:type="dxa" w:w="5083"/>
            <w:shd w:fill="17365D"/>
            <w:tcMar>
              <w:top w:w="75" w:type="dxa"/>
              <w:start w:w="80" w:type="dxa"/>
              <w:bottom w:w="75" w:type="dxa"/>
              <w:end w:w="80" w:type="dxa"/>
            </w:tcMa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Pr>
          <w:p>
            <w:r>
              <w:rPr>
                <w:b/>
                <w:color w:val="FFFFFF"/>
                <w:sz w:val="17"/>
              </w:rPr>
              <w:t>Examples / purpose</w:t>
            </w:r>
          </w:p>
        </w:tc>
      </w:tr>
      <w:tr>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Source</w:t>
            </w:r>
          </w:p>
        </w:tc>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platform, data_source, product_url, raw provider metadata</w:t>
            </w:r>
          </w:p>
        </w:tc>
      </w:tr>
      <w:tr>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Identity</w:t>
            </w:r>
          </w:p>
        </w:tc>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raw title, brand, core product, flavour/variant</w:t>
            </w:r>
          </w:p>
        </w:tc>
      </w:tr>
      <w:tr>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Pack</w:t>
            </w:r>
          </w:p>
        </w:tc>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item quantity, unit, pack count, total quantity</w:t>
            </w:r>
          </w:p>
        </w:tc>
      </w:tr>
      <w:tr>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Price</w:t>
            </w:r>
          </w:p>
        </w:tc>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selling price, MRP, visible quantity offers</w:t>
            </w:r>
          </w:p>
        </w:tc>
      </w:tr>
      <w:tr>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State</w:t>
            </w:r>
          </w:p>
        </w:tc>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availability, sponsored flag, image URL</w:t>
            </w:r>
          </w:p>
        </w:tc>
      </w:tr>
      <w:tr>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Auditability</w:t>
            </w:r>
          </w:p>
        </w:tc>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raw title/size text retained alongside normalized values</w:t>
            </w:r>
          </w:p>
        </w:tc>
      </w:tr>
    </w:tbl>
    <w:p>
      <w:r>
        <w:t>Keeping raw provider text is intentional. When a parsing or matching decision is questionable, the original evidence remains available for debugging and explanation.</w:t>
      </w:r>
    </w:p>
    <w:p>
      <w:pPr>
        <w:pStyle w:val="Heading1"/>
      </w:pPr>
      <w:r>
        <w:t>7. Query relevance filtering</w:t>
      </w:r>
    </w:p>
    <w:p>
      <w:r>
        <w:t>Provider search pages are discovery surfaces, not clean catalogs. A search for Maggi may include unrelated sponsored snacks; a Coca Cola query can include non-beverage products. Matching search position to search position would therefore be unsafe.</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Provider results</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Query relevance filter</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Normalizer</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Cross-platform matcher</w:t>
            </w:r>
          </w:p>
        </w:tc>
      </w:tr>
    </w:tbl>
    <w:p>
      <w:r>
        <w:t>The relevance stage uses query token overlap, normalized token-set similarity, category/product heuristics, and recognized aliases. It removes clearly unrelated items while retaining legitimate variants such as Coke Zero, Diet Coke, or Maggi Cuppa that are relevant to the query but not necessarily exact matches.</w:t>
      </w:r>
    </w:p>
    <w:p>
      <w:pPr>
        <w:pStyle w:val="Heading1"/>
      </w:pPr>
      <w:r>
        <w:t>8. Normalization</w:t>
      </w:r>
    </w:p>
    <w:p>
      <w:r>
        <w:t>Titles are normalized into product attributes rather than compared as raw strings. This reduces differences caused by punctuation, word order, unit notation, or marketing text.</w:t>
      </w:r>
    </w:p>
    <w:p>
      <w:pPr>
        <w:pStyle w:val="Heading2"/>
      </w:pPr>
      <w:r>
        <w:t>Unit normalization</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1 kg   -&gt; 1000 g</w:t>
            </w:r>
            <w:r>
              <w:br/>
            </w:r>
            <w:r>
              <w:rPr>
                <w:rFonts w:ascii="DejaVu Sans Mono" w:hAnsi="DejaVu Sans Mono"/>
                <w:sz w:val="16"/>
              </w:rPr>
              <w:t>0.5 kg -&gt; 500 g</w:t>
            </w:r>
            <w:r>
              <w:br/>
            </w:r>
            <w:r>
              <w:rPr>
                <w:rFonts w:ascii="DejaVu Sans Mono" w:hAnsi="DejaVu Sans Mono"/>
                <w:sz w:val="16"/>
              </w:rPr>
              <w:t>1 L    -&gt; 1000 ml</w:t>
            </w:r>
            <w:r>
              <w:br/>
            </w:r>
            <w:r>
              <w:rPr>
                <w:rFonts w:ascii="DejaVu Sans Mono" w:hAnsi="DejaVu Sans Mono"/>
                <w:sz w:val="16"/>
              </w:rPr>
              <w:t>0.75 L -&gt; 750 ml</w:t>
            </w:r>
          </w:p>
        </w:tc>
      </w:tr>
    </w:tbl>
    <w:p>
      <w:pPr>
        <w:pStyle w:val="Heading2"/>
      </w:pPr>
      <w:r>
        <w:t>Pack normalization</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"4 x 70 g" or "70 g x 4"</w:t>
            </w:r>
            <w:r>
              <w:br/>
            </w:r>
            <w:r>
              <w:rPr>
                <w:rFonts w:ascii="DejaVu Sans Mono" w:hAnsi="DejaVu Sans Mono"/>
                <w:sz w:val="16"/>
              </w:rPr>
              <w:t xml:space="preserve">    item_quantity = 70 g</w:t>
            </w:r>
            <w:r>
              <w:br/>
            </w:r>
            <w:r>
              <w:rPr>
                <w:rFonts w:ascii="DejaVu Sans Mono" w:hAnsi="DejaVu Sans Mono"/>
                <w:sz w:val="16"/>
              </w:rPr>
              <w:t xml:space="preserve">    pack_count    = 4</w:t>
            </w:r>
            <w:r>
              <w:br/>
            </w:r>
            <w:r>
              <w:rPr>
                <w:rFonts w:ascii="DejaVu Sans Mono" w:hAnsi="DejaVu Sans Mono"/>
                <w:sz w:val="16"/>
              </w:rPr>
              <w:t xml:space="preserve">    total         = 280 g</w:t>
            </w:r>
          </w:p>
        </w:tc>
      </w:tr>
    </w:tbl>
    <w:tbl>
      <w:tblPr>
        <w:tblW w:type="auto" w:w="0"/>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Borders>
              <w:top w:val="single" w:sz="5" w:space="0" w:color="D6B656"/>
              <w:left w:val="single" w:sz="5" w:space="0" w:color="D6B656"/>
              <w:bottom w:val="single" w:sz="5" w:space="0" w:color="D6B656"/>
              <w:right w:val="single" w:sz="5" w:space="0" w:color="D6B656"/>
              <w:insideH w:val="single" w:sz="5" w:space="0" w:color="D6B656"/>
              <w:insideV w:val="single" w:sz="5" w:space="0" w:color="D6B656"/>
            </w:tcBorders>
          </w:tcPr>
          <w:p>
            <w:r>
              <w:rPr>
                <w:b/>
                <w:color w:val="17365D"/>
              </w:rPr>
              <w:t xml:space="preserve">Identity rule: </w:t>
            </w:r>
            <w:r>
              <w:t>Equal total quantity does not imply equal SKU. A single 280 g family pack is not automatically identical to four 70 g packs.</w:t>
            </w:r>
          </w:p>
        </w:tc>
      </w:tr>
    </w:tbl>
    <w:p>
      <w:pPr>
        <w:pStyle w:val="Heading2"/>
      </w:pPr>
      <w:r>
        <w:t>Brand and variant handling</w:t>
      </w:r>
    </w:p>
    <w:p>
      <w:r>
        <w:t>The system uses a curated known-brand mapping rather than assuming the first title token is a brand. Explicit variant conflicts such as salted vs unsalted, regular Coca-Cola vs Coca-Cola Zero, and Magic Masala vs Cream &amp; Onion are hard boundaries. Missing information is treated as ambiguity rather than contradiction.</w:t>
      </w:r>
    </w:p>
    <w:p>
      <w:pPr>
        <w:pStyle w:val="Heading1"/>
      </w:pPr>
      <w:r>
        <w:t>9. Product identity and matching</w:t>
      </w:r>
    </w:p>
    <w:p>
      <w:r>
        <w:t>The matcher is deliberately precision-first: a false exact match is more harmful than failing to match two products that may be equivalent.</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17365D"/>
            <w:tcMar>
              <w:top w:w="75" w:type="dxa"/>
              <w:start w:w="80" w:type="dxa"/>
              <w:bottom w:w="75" w:type="dxa"/>
              <w:end w:w="80" w:type="dxa"/>
            </w:tcMa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Pr>
          <w:p>
            <w:r>
              <w:rPr>
                <w:b/>
                <w:color w:val="FFFFFF"/>
                <w:sz w:val="17"/>
              </w:rPr>
              <w:t>Class</w:t>
            </w:r>
          </w:p>
        </w:tc>
        <w:tc>
          <w:tcPr>
            <w:tcW w:type="dxa" w:w="3389"/>
            <w:shd w:fill="17365D"/>
            <w:tcMar>
              <w:top w:w="75" w:type="dxa"/>
              <w:start w:w="80" w:type="dxa"/>
              <w:bottom w:w="75" w:type="dxa"/>
              <w:end w:w="80" w:type="dxa"/>
            </w:tcMa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Pr>
          <w:p>
            <w:r>
              <w:rPr>
                <w:b/>
                <w:color w:val="FFFFFF"/>
                <w:sz w:val="17"/>
              </w:rPr>
              <w:t>Requirements</w:t>
            </w:r>
          </w:p>
        </w:tc>
        <w:tc>
          <w:tcPr>
            <w:tcW w:type="dxa" w:w="3389"/>
            <w:shd w:fill="17365D"/>
            <w:tcMar>
              <w:top w:w="75" w:type="dxa"/>
              <w:start w:w="80" w:type="dxa"/>
              <w:bottom w:w="75" w:type="dxa"/>
              <w:end w:w="80" w:type="dxa"/>
            </w:tcMa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Pr>
          <w:p>
            <w:r>
              <w:rPr>
                <w:b/>
                <w:color w:val="FFFFFF"/>
                <w:sz w:val="17"/>
              </w:rPr>
              <w:t>Presentation</w:t>
            </w:r>
          </w:p>
        </w:tc>
      </w:tr>
      <w:tr>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Exact Match</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High product similarity, compatible known brand, known/equal item size, compatible pack count, no explicit variant conflict</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Compare selected-quantity totals directly</w:t>
            </w:r>
          </w:p>
        </w:tc>
      </w:tr>
      <w:tr>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Comparable Product</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Same product family but different size/pack, or unresolved size ambiguity with adequate similarity</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Show normalized value such as Rs./100 g or Rs./100 ml</w:t>
            </w:r>
          </w:p>
        </w:tc>
      </w:tr>
      <w:tr>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No Match</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Insufficient confidence or explicit conflict</w:t>
            </w:r>
          </w:p>
        </w:tc>
        <w:tc>
          <w:tcPr>
            <w:tcW w:type="dxa" w:w="3389"/>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Do not pair</w:t>
            </w:r>
          </w:p>
        </w:tc>
      </w:tr>
    </w:tbl>
    <w:p>
      <w:pPr>
        <w:pStyle w:val="Heading2"/>
      </w:pPr>
      <w:r>
        <w:t>Exact-match invariants</w:t>
      </w:r>
    </w:p>
    <w:p>
      <w:pPr>
        <w:pStyle w:val="ListBullet"/>
        <w:spacing w:after="30"/>
      </w:pPr>
      <w:r>
        <w:t>Typical product similarity threshold is at least 84.</w:t>
      </w:r>
    </w:p>
    <w:p>
      <w:pPr>
        <w:pStyle w:val="ListBullet"/>
        <w:spacing w:after="30"/>
      </w:pPr>
      <w:r>
        <w:t>Unknown size can never produce an exact SKU match.</w:t>
      </w:r>
    </w:p>
    <w:p>
      <w:pPr>
        <w:pStyle w:val="ListBullet"/>
        <w:spacing w:after="30"/>
      </w:pPr>
      <w:r>
        <w:t>Reliable brand conflicts reject the pair.</w:t>
      </w:r>
    </w:p>
    <w:p>
      <w:pPr>
        <w:pStyle w:val="ListBullet"/>
        <w:spacing w:after="30"/>
      </w:pPr>
      <w:r>
        <w:t>Explicit variant conflicts reject the pair.</w:t>
      </w:r>
    </w:p>
    <w:p>
      <w:pPr>
        <w:pStyle w:val="ListBullet"/>
        <w:spacing w:after="30"/>
      </w:pPr>
      <w:r>
        <w:t>Pack structure must be compatible; equal total weight alone is insufficient.</w:t>
      </w:r>
    </w:p>
    <w:p>
      <w:pPr>
        <w:pStyle w:val="Heading2"/>
      </w:pPr>
      <w:r>
        <w:t>Comparable matching</w:t>
      </w:r>
    </w:p>
    <w:p>
      <w:r>
        <w:t>A lower candidate threshold (typically around 74) allows useful comparisons across different sizes or incomplete metadata without misrepresenting them as identical. For example, Lay's Classic Salted 51 g and 58 g are comparable, not exact.</w:t>
      </w:r>
    </w:p>
    <w:p>
      <w:pPr>
        <w:pStyle w:val="Heading2"/>
      </w:pPr>
      <w:r>
        <w:t>One-to-one pairing</w:t>
      </w:r>
    </w:p>
    <w:p>
      <w:r>
        <w:t>Candidate pairs are scored and selected conservatively so each listing is assigned at most once. This prevents one strong Blinkit result from being duplicated across several similar Instamart results.</w:t>
      </w:r>
    </w:p>
    <w:p>
      <w:pPr>
        <w:pStyle w:val="Heading1"/>
      </w:pPr>
      <w:r>
        <w:t>10. Selective detail enrichment</w:t>
      </w:r>
    </w:p>
    <w:p>
      <w:r>
        <w:t>Search cards are the primary data source. Opening every detail page would increase latency and request volume, so enrichment is performed only for a small number of ambiguous but plausible Blinkit candidates.</w:t>
      </w:r>
    </w:p>
    <w:p>
      <w:pPr>
        <w:pStyle w:val="ListNumber"/>
        <w:spacing w:after="30"/>
      </w:pPr>
      <w:r>
        <w:t>Extract and normalize search-card information.</w:t>
      </w:r>
    </w:p>
    <w:p>
      <w:pPr>
        <w:pStyle w:val="ListNumber"/>
        <w:spacing w:after="30"/>
      </w:pPr>
      <w:r>
        <w:t>Build conservative candidate pairs.</w:t>
      </w:r>
    </w:p>
    <w:p>
      <w:pPr>
        <w:pStyle w:val="ListNumber"/>
        <w:spacing w:after="30"/>
      </w:pPr>
      <w:r>
        <w:t>Identify accepted candidates whose decision may change if missing size or variant metadata is recovered.</w:t>
      </w:r>
    </w:p>
    <w:p>
      <w:pPr>
        <w:pStyle w:val="ListNumber"/>
        <w:spacing w:after="30"/>
      </w:pPr>
      <w:r>
        <w:t>Open only a tightly budgeted number of Blinkit detail pages.</w:t>
      </w:r>
    </w:p>
    <w:p>
      <w:pPr>
        <w:pStyle w:val="ListNumber"/>
        <w:spacing w:after="30"/>
      </w:pPr>
      <w:r>
        <w:t>Extract semantic label/value fields such as Pack Size, Weight, Volume, Net Quantity, Flavour, or Product Type.</w:t>
      </w:r>
    </w:p>
    <w:p>
      <w:pPr>
        <w:pStyle w:val="ListNumber"/>
        <w:spacing w:after="30"/>
      </w:pPr>
      <w:r>
        <w:t>Normalize again and recompute matching.</w:t>
      </w:r>
    </w:p>
    <w:p>
      <w:r>
        <w:t>Structured Instamart API rows already expose the catalog fields needed for the comparison, so API-derived Instamart listings never trigger the blocked browser enrichment path.</w:t>
      </w:r>
    </w:p>
    <w:p>
      <w:pPr>
        <w:pStyle w:val="Heading1"/>
      </w:pPr>
      <w:r>
        <w:t>11. Instamart bundle consolidation</w:t>
      </w:r>
    </w:p>
    <w:p>
      <w:r>
        <w:t>The live Instamart data source may return multi-buy variants as separate rows. Those rows encode pricing behavior and should not always be treated as unrelated SKUs.</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Coca-Cola 750 ml       Rs. 38</w:t>
            </w:r>
            <w:r>
              <w:br/>
            </w:r>
            <w:r>
              <w:rPr>
                <w:rFonts w:ascii="DejaVu Sans Mono" w:hAnsi="DejaVu Sans Mono"/>
                <w:sz w:val="16"/>
              </w:rPr>
              <w:t>Coca-Cola 750 ml x 2   Rs. 65</w:t>
            </w:r>
            <w:r>
              <w:br/>
            </w:r>
            <w:r>
              <w:rPr>
                <w:rFonts w:ascii="DejaVu Sans Mono" w:hAnsi="DejaVu Sans Mono"/>
                <w:sz w:val="16"/>
              </w:rPr>
              <w:t>Coca-Cola 750 ml x 12  Rs. 387</w:t>
            </w:r>
            <w:r>
              <w:br/>
            </w:r>
            <w:r>
              <w:rPr>
                <w:rFonts w:ascii="DejaVu Sans Mono" w:hAnsi="DejaVu Sans Mono"/>
                <w:sz w:val="16"/>
              </w:rPr>
            </w:r>
            <w:r>
              <w:br/>
            </w:r>
            <w:r>
              <w:rPr>
                <w:rFonts w:ascii="DejaVu Sans Mono" w:hAnsi="DejaVu Sans Mono"/>
                <w:sz w:val="16"/>
              </w:rPr>
              <w:t>Consolidated view:</w:t>
            </w:r>
            <w:r>
              <w:br/>
            </w:r>
            <w:r>
              <w:rPr>
                <w:rFonts w:ascii="DejaVu Sans Mono" w:hAnsi="DejaVu Sans Mono"/>
                <w:sz w:val="16"/>
              </w:rPr>
              <w:t>Coca-Cola 750 ml</w:t>
            </w:r>
            <w:r>
              <w:br/>
            </w:r>
            <w:r>
              <w:rPr>
                <w:rFonts w:ascii="DejaVu Sans Mono" w:hAnsi="DejaVu Sans Mono"/>
                <w:sz w:val="16"/>
              </w:rPr>
              <w:t xml:space="preserve">  qty 1  -&gt; Rs. 38</w:t>
            </w:r>
            <w:r>
              <w:br/>
            </w:r>
            <w:r>
              <w:rPr>
                <w:rFonts w:ascii="DejaVu Sans Mono" w:hAnsi="DejaVu Sans Mono"/>
                <w:sz w:val="16"/>
              </w:rPr>
              <w:t xml:space="preserve">  qty 2  -&gt; Rs. 65</w:t>
            </w:r>
            <w:r>
              <w:br/>
            </w:r>
            <w:r>
              <w:rPr>
                <w:rFonts w:ascii="DejaVu Sans Mono" w:hAnsi="DejaVu Sans Mono"/>
                <w:sz w:val="16"/>
              </w:rPr>
              <w:t xml:space="preserve">  qty 12 -&gt; Rs. 387</w:t>
            </w:r>
          </w:p>
        </w:tc>
      </w:tr>
    </w:tbl>
    <w:p>
      <w:r>
        <w:t>Bundle consolidation is allowed only when brand, product family, variant, and individual item size are compatible. Regular Coca-Cola and Coca-Cola Zero remain separate even when both are 750 ml.</w:t>
      </w:r>
    </w:p>
    <w:tbl>
      <w:tblPr>
        <w:tblW w:type="auto" w:w="0"/>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Borders>
              <w:top w:val="single" w:sz="5" w:space="0" w:color="D6B656"/>
              <w:left w:val="single" w:sz="5" w:space="0" w:color="D6B656"/>
              <w:bottom w:val="single" w:sz="5" w:space="0" w:color="D6B656"/>
              <w:right w:val="single" w:sz="5" w:space="0" w:color="D6B656"/>
              <w:insideH w:val="single" w:sz="5" w:space="0" w:color="D6B656"/>
              <w:insideV w:val="single" w:sz="5" w:space="0" w:color="D6B656"/>
            </w:tcBorders>
          </w:tcPr>
          <w:p>
            <w:r>
              <w:rPr>
                <w:b/>
                <w:color w:val="17365D"/>
              </w:rPr>
              <w:t xml:space="preserve">Safety rule: </w:t>
            </w:r>
            <w:r>
              <w:t>If a bundle row exists but there is no trustworthy single-unit base row, the system does not invent a unit price. It can remain a distinct pack listing.</w:t>
            </w:r>
          </w:p>
        </w:tc>
      </w:tr>
    </w:tbl>
    <w:p>
      <w:pPr>
        <w:pStyle w:val="Heading1"/>
      </w:pPr>
      <w:r>
        <w:t>12. Quantity-aware pricing</w:t>
      </w:r>
    </w:p>
    <w:p>
      <w:r>
        <w:t>The comparison is quantity-aware. A naive total of quantity multiplied by unit price is incorrect when visible multi-buy pricing exists.</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Single unit price: Rs. 20</w:t>
            </w:r>
            <w:r>
              <w:br/>
            </w:r>
            <w:r>
              <w:rPr>
                <w:rFonts w:ascii="DejaVu Sans Mono" w:hAnsi="DejaVu Sans Mono"/>
                <w:sz w:val="16"/>
              </w:rPr>
              <w:t>Visible offer:     4 for Rs. 75</w:t>
            </w:r>
            <w:r>
              <w:br/>
            </w:r>
            <w:r>
              <w:rPr>
                <w:rFonts w:ascii="DejaVu Sans Mono" w:hAnsi="DejaVu Sans Mono"/>
                <w:sz w:val="16"/>
              </w:rPr>
            </w:r>
            <w:r>
              <w:br/>
            </w:r>
            <w:r>
              <w:rPr>
                <w:rFonts w:ascii="DejaVu Sans Mono" w:hAnsi="DejaVu Sans Mono"/>
                <w:sz w:val="16"/>
              </w:rPr>
              <w:t>Requested quantity = 4</w:t>
            </w:r>
            <w:r>
              <w:br/>
            </w:r>
            <w:r>
              <w:rPr>
                <w:rFonts w:ascii="DejaVu Sans Mono" w:hAnsi="DejaVu Sans Mono"/>
                <w:sz w:val="16"/>
              </w:rPr>
              <w:t>Correct total      = Rs. 75</w:t>
            </w:r>
            <w:r>
              <w:br/>
            </w:r>
            <w:r>
              <w:rPr>
                <w:rFonts w:ascii="DejaVu Sans Mono" w:hAnsi="DejaVu Sans Mono"/>
                <w:sz w:val="16"/>
              </w:rPr>
              <w:t>Naive total         = Rs. 80</w:t>
            </w:r>
          </w:p>
        </w:tc>
      </w:tr>
    </w:tbl>
    <w:p>
      <w:r>
        <w:t>The pricing layer therefore behaves like a totalPrice(quantity) function. It evaluates the available base price and known quantity offers to calculate the cheapest valid combination for the requested quantity. This allows the cheapest platform to change as quantity changes.</w:t>
      </w:r>
    </w:p>
    <w:p>
      <w:pPr>
        <w:pStyle w:val="Heading2"/>
      </w:pPr>
      <w:r>
        <w:t>Pricing scope</w:t>
      </w:r>
    </w:p>
    <w:tbl>
      <w:tblPr>
        <w:tblW w:type="auto" w:w="0"/>
        <w:jc w:val="center"/>
        <w:tblLayout w:type="autofit"/>
        <w:tblLook w:firstColumn="1" w:firstRow="1" w:lastColumn="0" w:lastRow="0" w:noHBand="0" w:noVBand="1" w:val="04A0"/>
      </w:tblPr>
      <w:tblGrid>
        <w:gridCol w:w="5083"/>
        <w:gridCol w:w="5083"/>
      </w:tblGrid>
      <w:tr>
        <w:tc>
          <w:tcPr>
            <w:tcW w:type="dxa" w:w="5083"/>
            <w:shd w:fill="17365D"/>
            <w:tcMar>
              <w:top w:w="75" w:type="dxa"/>
              <w:start w:w="80" w:type="dxa"/>
              <w:bottom w:w="75" w:type="dxa"/>
              <w:end w:w="80" w:type="dxa"/>
            </w:tcMa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Pr>
          <w:p>
            <w:r>
              <w:rPr>
                <w:b/>
                <w:color w:val="FFFFFF"/>
                <w:sz w:val="17"/>
              </w:rPr>
              <w:t>Included</w:t>
            </w:r>
          </w:p>
        </w:tc>
        <w:tc>
          <w:tcPr>
            <w:tcW w:type="dxa" w:w="5083"/>
            <w:shd w:fill="17365D"/>
            <w:tcMar>
              <w:top w:w="75" w:type="dxa"/>
              <w:start w:w="80" w:type="dxa"/>
              <w:bottom w:w="75" w:type="dxa"/>
              <w:end w:w="80" w:type="dxa"/>
            </w:tcMa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Pr>
          <w:p>
            <w:r>
              <w:rPr>
                <w:b/>
                <w:color w:val="FFFFFF"/>
                <w:sz w:val="17"/>
              </w:rPr>
              <w:t>Excluded</w:t>
            </w:r>
          </w:p>
        </w:tc>
      </w:tr>
      <w:tr>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Listed selling price</w:t>
            </w:r>
          </w:p>
        </w:tc>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Checkout coupons</w:t>
            </w:r>
          </w:p>
        </w:tc>
      </w:tr>
      <w:tr>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MRP</w:t>
            </w:r>
          </w:p>
        </w:tc>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Bank/payment-method discounts</w:t>
            </w:r>
          </w:p>
        </w:tc>
      </w:tr>
      <w:tr>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Visible quantity bundles</w:t>
            </w:r>
          </w:p>
        </w:tc>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Membership-only benefits</w:t>
            </w:r>
          </w:p>
        </w:tc>
      </w:tr>
      <w:tr>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Visible item-level discount</w:t>
            </w:r>
          </w:p>
        </w:tc>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shd w:fill="F8FAFC"/>
          </w:tcPr>
          <w:p>
            <w:pPr>
              <w:spacing w:after="0"/>
            </w:pPr>
            <w:r>
              <w:rPr>
                <w:sz w:val="16"/>
              </w:rPr>
              <w:t>Delivery/handling fees</w:t>
            </w:r>
          </w:p>
        </w:tc>
      </w:tr>
      <w:tr>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Selected quantity total</w:t>
            </w:r>
          </w:p>
        </w:tc>
        <w:tc>
          <w:tcPr>
            <w:tcW w:type="dxa" w:w="5083"/>
            <w:tcMar>
              <w:top w:w="70" w:type="dxa"/>
              <w:start w:w="80" w:type="dxa"/>
              <w:bottom w:w="70" w:type="dxa"/>
              <w:end w:w="80" w:type="dxa"/>
            </w:tcMa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vAlign w:val="center"/>
          </w:tcPr>
          <w:p>
            <w:pPr>
              <w:spacing w:after="0"/>
            </w:pPr>
            <w:r>
              <w:rPr>
                <w:sz w:val="16"/>
              </w:rPr>
              <w:t>User-specific/personalized promotions</w:t>
            </w:r>
          </w:p>
        </w:tc>
      </w:tr>
    </w:tbl>
    <w:p>
      <w:pPr>
        <w:pStyle w:val="Heading1"/>
      </w:pPr>
      <w:r>
        <w:t>13. Caching and freshness</w:t>
      </w:r>
    </w:p>
    <w:p>
      <w:r>
        <w:t>A short in-memory cache reduces repeated browser interactions, API credit usage, and latency. The V1 policy keeps results fresh for roughly three minutes and can retain a stale value for a longer fallback window (around thirty minutes) when a refresh fails.</w:t>
      </w:r>
    </w:p>
    <w:p>
      <w:r>
        <w:t>The UI exposes freshness information and supports manual refresh. The design treats "live" as data acquired from a live provider path, not as a promise that every button click will bypass a sensible short cache.</w:t>
      </w:r>
    </w:p>
    <w:p>
      <w:pPr>
        <w:pStyle w:val="Heading1"/>
      </w:pPr>
      <w:r>
        <w:t>14. Failure isolation and concurrency</w:t>
      </w:r>
    </w:p>
    <w:p>
      <w:pPr>
        <w:pStyle w:val="Heading2"/>
      </w:pPr>
      <w:r>
        <w:t>Partial results</w:t>
      </w:r>
    </w:p>
    <w:p>
      <w:r>
        <w:t>Provider failures are independent. A Blinkit failure should not crash a successful Instamart response, and vice versa. The search service can return available results plus a provider warning rather than failing the entire comparison.</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Blinkit success + Instamart live API failure</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 xml:space="preserve">             Instamart snapshot fallback</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 xml:space="preserve">             Comparison remains usable</w:t>
            </w:r>
          </w:p>
        </w:tc>
      </w:tr>
    </w:tbl>
    <w:p>
      <w:pPr>
        <w:pStyle w:val="Heading2"/>
      </w:pPr>
      <w:r>
        <w:t>Concurrent provider search</w:t>
      </w:r>
    </w:p>
    <w:p>
      <w:r>
        <w:t>Independent provider requests are executed concurrently where possible, reducing end-to-end latency from approximately the sum of provider latencies to roughly the slower provider path. Browser page interactions remain serialized when they share state, avoiding unsafe concurrent manipulation of one Playwright page/context.</w:t>
      </w:r>
    </w:p>
    <w:p>
      <w:pPr>
        <w:pStyle w:val="Heading1"/>
      </w:pPr>
      <w:r>
        <w:t>15. Security and configuration</w:t>
      </w:r>
    </w:p>
    <w:p>
      <w:r>
        <w:t>Secrets are environment-controlled. The live Instamart provider reads QUICKCOMMERCE_API_KEY from the environment/.env file. The real .env file is excluded from source control and the submission ZIP. .env.example contains only an empty placeholder.</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QUICKCOMMERCE_API_KEY=</w:t>
            </w:r>
          </w:p>
        </w:tc>
      </w:tr>
    </w:tbl>
    <w:p>
      <w:pPr>
        <w:pStyle w:val="ListBullet"/>
        <w:spacing w:after="30"/>
      </w:pPr>
      <w:r>
        <w:t>The real key is never hardcoded in source.</w:t>
      </w:r>
    </w:p>
    <w:p>
      <w:pPr>
        <w:pStyle w:val="ListBullet"/>
        <w:spacing w:after="30"/>
      </w:pPr>
      <w:r>
        <w:t>The key is never returned to the frontend.</w:t>
      </w:r>
    </w:p>
    <w:p>
      <w:pPr>
        <w:pStyle w:val="ListBullet"/>
        <w:spacing w:after="30"/>
      </w:pPr>
      <w:r>
        <w:t>Tests do not contain the key.</w:t>
      </w:r>
    </w:p>
    <w:p>
      <w:pPr>
        <w:pStyle w:val="ListBullet"/>
        <w:spacing w:after="30"/>
      </w:pPr>
      <w:r>
        <w:t>Normal logs do not print key characters.</w:t>
      </w:r>
    </w:p>
    <w:p>
      <w:pPr>
        <w:pStyle w:val="ListBullet"/>
        <w:spacing w:after="30"/>
      </w:pPr>
      <w:r>
        <w:t>The application remains runnable without the key through snapshot fallback.</w:t>
      </w:r>
    </w:p>
    <w:p>
      <w:r>
        <w:br w:type="page"/>
      </w:r>
    </w:p>
    <w:p>
      <w:pPr>
        <w:pStyle w:val="Heading1"/>
      </w:pPr>
      <w:r>
        <w:t>16. UI transparency</w:t>
      </w:r>
    </w:p>
    <w:p>
      <w:r>
        <w:t>Freshness and source state are visible because they affect trust in the comparison. Typical states are:</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Blinkit   LIVE       Checked &lt;time&gt;</w:t>
            </w:r>
            <w:r>
              <w:br/>
            </w:r>
            <w:r>
              <w:rPr>
                <w:rFonts w:ascii="DejaVu Sans Mono" w:hAnsi="DejaVu Sans Mono"/>
                <w:sz w:val="16"/>
              </w:rPr>
              <w:t>Instamart LIVE       Checked &lt;time&gt;</w:t>
            </w:r>
            <w:r>
              <w:br/>
            </w:r>
            <w:r>
              <w:rPr>
                <w:rFonts w:ascii="DejaVu Sans Mono" w:hAnsi="DejaVu Sans Mono"/>
                <w:sz w:val="16"/>
              </w:rPr>
            </w:r>
            <w:r>
              <w:br/>
            </w:r>
            <w:r>
              <w:rPr>
                <w:rFonts w:ascii="DejaVu Sans Mono" w:hAnsi="DejaVu Sans Mono"/>
                <w:sz w:val="16"/>
              </w:rPr>
              <w:t>Fallback case:</w:t>
            </w:r>
            <w:r>
              <w:br/>
            </w:r>
            <w:r>
              <w:rPr>
                <w:rFonts w:ascii="DejaVu Sans Mono" w:hAnsi="DejaVu Sans Mono"/>
                <w:sz w:val="16"/>
              </w:rPr>
              <w:t>Blinkit   LIVE</w:t>
            </w:r>
            <w:r>
              <w:br/>
            </w:r>
            <w:r>
              <w:rPr>
                <w:rFonts w:ascii="DejaVu Sans Mono" w:hAnsi="DejaVu Sans Mono"/>
                <w:sz w:val="16"/>
              </w:rPr>
              <w:t>Instamart SNAPSHOT   Captured &lt;timestamp&gt;</w:t>
            </w:r>
          </w:p>
        </w:tc>
      </w:tr>
    </w:tbl>
    <w:p>
      <w:r>
        <w:t>The UI also distinguishes exact matches from comparable products so normalized value comparisons are not mistaken for SKU identity.</w:t>
      </w:r>
    </w:p>
    <w:p>
      <w:pPr>
        <w:pStyle w:val="Heading1"/>
      </w:pPr>
      <w:r>
        <w:t>17. Testing strategy</w:t>
      </w:r>
    </w:p>
    <w:p>
      <w:r>
        <w:t>Core behavior is covered by deterministic regression tests. External services are not dependencies of the unit test suite because network availability, inventory, and provider pricing change independently of the code.</w:t>
      </w:r>
    </w:p>
    <w:p>
      <w:pPr>
        <w:pStyle w:val="ListBullet"/>
        <w:spacing w:after="30"/>
      </w:pPr>
      <w:r>
        <w:t>Normalization and unit/pack parsing.</w:t>
      </w:r>
    </w:p>
    <w:p>
      <w:pPr>
        <w:pStyle w:val="ListBullet"/>
        <w:spacing w:after="30"/>
      </w:pPr>
      <w:r>
        <w:t>Exact vs comparable matching.</w:t>
      </w:r>
    </w:p>
    <w:p>
      <w:pPr>
        <w:pStyle w:val="ListBullet"/>
        <w:spacing w:after="30"/>
      </w:pPr>
      <w:r>
        <w:t>Unknown-size exact-match prevention.</w:t>
      </w:r>
    </w:p>
    <w:p>
      <w:pPr>
        <w:pStyle w:val="ListBullet"/>
        <w:spacing w:after="30"/>
      </w:pPr>
      <w:r>
        <w:t>Variant and brand conflict handling.</w:t>
      </w:r>
    </w:p>
    <w:p>
      <w:pPr>
        <w:pStyle w:val="ListBullet"/>
        <w:spacing w:after="30"/>
      </w:pPr>
      <w:r>
        <w:t>Query relevance filtering.</w:t>
      </w:r>
    </w:p>
    <w:p>
      <w:pPr>
        <w:pStyle w:val="ListBullet"/>
        <w:spacing w:after="30"/>
      </w:pPr>
      <w:r>
        <w:t>Quantity pricing and bundle offers.</w:t>
      </w:r>
    </w:p>
    <w:p>
      <w:pPr>
        <w:pStyle w:val="ListBullet"/>
        <w:spacing w:after="30"/>
      </w:pPr>
      <w:r>
        <w:t>Instamart API field mapping and bundle consolidation.</w:t>
      </w:r>
    </w:p>
    <w:p>
      <w:pPr>
        <w:pStyle w:val="ListBullet"/>
        <w:spacing w:after="30"/>
      </w:pPr>
      <w:r>
        <w:t>Snapshot fallback behavior.</w:t>
      </w:r>
    </w:p>
    <w:p>
      <w:pPr>
        <w:pStyle w:val="ListBullet"/>
        <w:spacing w:after="30"/>
      </w:pPr>
      <w:r>
        <w:t>SearchService provider orchestration and degradation paths.</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Current status: </w:t>
            </w:r>
            <w:r>
              <w:t>The final implementation is covered by 49 deterministic regression tests. Live Blinkit and Instamart paths are validated separately through smoke/integration checks.</w:t>
            </w:r>
          </w:p>
        </w:tc>
      </w:tr>
    </w:tbl>
    <w:p>
      <w:pPr>
        <w:pStyle w:val="Heading1"/>
      </w:pPr>
      <w:r>
        <w:t>18. Scaling path</w:t>
      </w:r>
    </w:p>
    <w:p>
      <w:pPr>
        <w:pStyle w:val="Heading2"/>
      </w:pPr>
      <w:r>
        <w:t>Many locations</w:t>
      </w:r>
    </w:p>
    <w:p>
      <w:r>
        <w:t>Location would move from a fixed DTU constant into request/user context. Provider-specific store or delivery-region resolution would become explicit, and cache keys would include provider, normalized query, and location/store region.</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cache_key = provider + normalized_query + location_or_store_region</w:t>
            </w:r>
          </w:p>
        </w:tc>
      </w:tr>
    </w:tbl>
    <w:p>
      <w:pPr>
        <w:pStyle w:val="Heading2"/>
      </w:pPr>
      <w:r>
        <w:t>Many users</w:t>
      </w:r>
    </w:p>
    <w:p>
      <w:r>
        <w:t>A single-process in-memory cache is sufficient for V1 but not for distributed traffic. A scaled design would separate API serving from provider work and introduce a distributed cache, queues, rate limiting, retries, and circuit breakers.</w:t>
      </w:r>
    </w:p>
    <w:tbl>
      <w:tblPr>
        <w:tblW w:type="auto" w:w="0"/>
        <w:jc w:val="left"/>
        <w:tblLook w:firstColumn="1" w:firstRow="1" w:lastColumn="0" w:lastRow="0" w:noHBand="0" w:noVBand="1" w:val="04A0"/>
      </w:tblPr>
      <w:tblGrid>
        <w:gridCol w:w="10166"/>
      </w:tblGrid>
      <w:tr>
        <w:tc>
          <w:tcPr>
            <w:tcW w:type="dxa" w:w="10166"/>
            <w:shd w:fill="F3F5F7"/>
            <w:tcMar>
              <w:top w:w="95" w:type="dxa"/>
              <w:start w:w="120" w:type="dxa"/>
              <w:bottom w:w="95" w:type="dxa"/>
              <w:end w:w="120" w:type="dxa"/>
            </w:tcMa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pStyle w:val="CodeBlock"/>
              <w:spacing w:after="0"/>
            </w:pPr>
            <w:r>
              <w:rPr>
                <w:rFonts w:ascii="DejaVu Sans Mono" w:hAnsi="DejaVu Sans Mono"/>
                <w:sz w:val="16"/>
              </w:rPr>
              <w:t>API / Search Coordinator</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Provider task queue</w:t>
            </w:r>
            <w:r>
              <w:br/>
            </w:r>
            <w:r>
              <w:rPr>
                <w:rFonts w:ascii="DejaVu Sans Mono" w:hAnsi="DejaVu Sans Mono"/>
                <w:sz w:val="16"/>
              </w:rPr>
              <w:t xml:space="preserve">   |             |</w:t>
            </w:r>
            <w:r>
              <w:br/>
            </w:r>
            <w:r>
              <w:rPr>
                <w:rFonts w:ascii="DejaVu Sans Mono" w:hAnsi="DejaVu Sans Mono"/>
                <w:sz w:val="16"/>
              </w:rPr>
              <w:t xml:space="preserve">   v             v</w:t>
            </w:r>
            <w:r>
              <w:br/>
            </w:r>
            <w:r>
              <w:rPr>
                <w:rFonts w:ascii="DejaVu Sans Mono" w:hAnsi="DejaVu Sans Mono"/>
                <w:sz w:val="16"/>
              </w:rPr>
              <w:t>Blinkit workers  Instamart workers</w:t>
            </w:r>
            <w:r>
              <w:br/>
            </w:r>
            <w:r>
              <w:rPr>
                <w:rFonts w:ascii="DejaVu Sans Mono" w:hAnsi="DejaVu Sans Mono"/>
                <w:sz w:val="16"/>
              </w:rPr>
              <w:t xml:space="preserve">        |</w:t>
            </w:r>
            <w:r>
              <w:br/>
            </w:r>
            <w:r>
              <w:rPr>
                <w:rFonts w:ascii="DejaVu Sans Mono" w:hAnsi="DejaVu Sans Mono"/>
                <w:sz w:val="16"/>
              </w:rPr>
              <w:t xml:space="preserve">        v</w:t>
            </w:r>
            <w:r>
              <w:br/>
            </w:r>
            <w:r>
              <w:rPr>
                <w:rFonts w:ascii="DejaVu Sans Mono" w:hAnsi="DejaVu Sans Mono"/>
                <w:sz w:val="16"/>
              </w:rPr>
              <w:t>Distributed cache / normalized catalog store</w:t>
            </w:r>
          </w:p>
        </w:tc>
      </w:tr>
    </w:tbl>
    <w:p>
      <w:pPr>
        <w:pStyle w:val="ListBullet"/>
        <w:spacing w:after="30"/>
      </w:pPr>
      <w:r>
        <w:t>Provider-specific concurrency limits and rate budgets.</w:t>
      </w:r>
    </w:p>
    <w:p>
      <w:pPr>
        <w:pStyle w:val="ListBullet"/>
        <w:spacing w:after="30"/>
      </w:pPr>
      <w:r>
        <w:t>Centralized structured logs and telemetry.</w:t>
      </w:r>
    </w:p>
    <w:p>
      <w:pPr>
        <w:pStyle w:val="ListBullet"/>
        <w:spacing w:after="30"/>
      </w:pPr>
      <w:r>
        <w:t>Catalog freshness timestamps and data-quality metrics.</w:t>
      </w:r>
    </w:p>
    <w:p>
      <w:pPr>
        <w:pStyle w:val="ListBullet"/>
        <w:spacing w:after="30"/>
      </w:pPr>
      <w:r>
        <w:t>Persistent normalized observations to reduce repeated upstream work.</w:t>
      </w:r>
    </w:p>
    <w:p>
      <w:pPr>
        <w:pStyle w:val="ListBullet"/>
        <w:spacing w:after="30"/>
      </w:pPr>
      <w:r>
        <w:t>Background refresh for popular products/regions where permitted.</w:t>
      </w:r>
    </w:p>
    <w:p>
      <w:r>
        <w:br w:type="page"/>
      </w:r>
    </w:p>
    <w:p>
      <w:pPr>
        <w:pStyle w:val="Heading1"/>
      </w:pPr>
      <w:r>
        <w:t>19. Production evolution</w:t>
      </w:r>
    </w:p>
    <w:p>
      <w:r>
        <w:t>The current prototype intentionally demonstrates real acquisition constraints rather than pretending the data source is ideal. For production, browser extraction and third-party aggregation should be replaced with authorized merchant feeds or partner APIs when available.</w:t>
      </w:r>
    </w:p>
    <w:p>
      <w:r>
        <w:t>The provider abstraction makes that migration localized: new provider adapters can produce the same internal listing model while the relevance filter, normalizer, matcher, pricing engine, API schema, and UI remain largely unchanged.</w:t>
      </w:r>
    </w:p>
    <w:p>
      <w:pPr>
        <w:pStyle w:val="Heading1"/>
      </w:pPr>
      <w:r>
        <w:t>20. Design invariants</w:t>
      </w:r>
    </w:p>
    <w:p>
      <w:pPr>
        <w:pStyle w:val="ListBullet"/>
        <w:spacing w:after="30"/>
      </w:pPr>
      <w:r>
        <w:t>Never hide source freshness or fallback state.</w:t>
      </w:r>
    </w:p>
    <w:p>
      <w:pPr>
        <w:pStyle w:val="ListBullet"/>
        <w:spacing w:after="30"/>
      </w:pPr>
      <w:r>
        <w:t>Never call two products exact when a required size is unknown.</w:t>
      </w:r>
    </w:p>
    <w:p>
      <w:pPr>
        <w:pStyle w:val="ListBullet"/>
        <w:spacing w:after="30"/>
      </w:pPr>
      <w:r>
        <w:t>Never allow explicit variant conflicts to become exact matches.</w:t>
      </w:r>
    </w:p>
    <w:p>
      <w:pPr>
        <w:pStyle w:val="ListBullet"/>
        <w:spacing w:after="30"/>
      </w:pPr>
      <w:r>
        <w:t>Never assume equal total weight means equal pack/SKU.</w:t>
      </w:r>
    </w:p>
    <w:p>
      <w:pPr>
        <w:pStyle w:val="ListBullet"/>
        <w:spacing w:after="30"/>
      </w:pPr>
      <w:r>
        <w:t>Never treat provider search rank as proof of cross-platform identity.</w:t>
      </w:r>
    </w:p>
    <w:p>
      <w:pPr>
        <w:pStyle w:val="ListBullet"/>
        <w:spacing w:after="30"/>
      </w:pPr>
      <w:r>
        <w:t>Never invent missing product or pricing data.</w:t>
      </w:r>
    </w:p>
    <w:p>
      <w:pPr>
        <w:pStyle w:val="ListBullet"/>
        <w:spacing w:after="30"/>
      </w:pPr>
      <w:r>
        <w:t>Never make one provider failure crash all available results.</w:t>
      </w:r>
    </w:p>
    <w:p>
      <w:pPr>
        <w:pStyle w:val="ListBullet"/>
        <w:spacing w:after="30"/>
      </w:pPr>
      <w:r>
        <w:t>Keep acquisition, identity, and pricing independent.</w:t>
      </w:r>
    </w:p>
    <w:tbl>
      <w:tblPr>
        <w:tblW w:type="auto" w:w="0"/>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Borders>
              <w:top w:val="single" w:sz="5" w:space="0" w:color="A8C69F"/>
              <w:left w:val="single" w:sz="5" w:space="0" w:color="A8C69F"/>
              <w:bottom w:val="single" w:sz="5" w:space="0" w:color="A8C69F"/>
              <w:right w:val="single" w:sz="5" w:space="0" w:color="A8C69F"/>
              <w:insideH w:val="single" w:sz="5" w:space="0" w:color="A8C69F"/>
              <w:insideV w:val="single" w:sz="5" w:space="0" w:color="A8C69F"/>
            </w:tcBorders>
          </w:tcPr>
          <w:p>
            <w:r>
              <w:rPr>
                <w:b/>
                <w:color w:val="17365D"/>
              </w:rPr>
              <w:t xml:space="preserve">Summary: </w:t>
            </w:r>
            <w:r>
              <w:t>The architecture is designed around uncertainty. It prefers explicit confidence boundaries and graceful degradation over brittle assumptions, which is essential when comparing two independently maintained grocery catalogs.</w:t>
            </w:r>
          </w:p>
        </w:tc>
      </w:tr>
    </w:tbl>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666666"/>
        <w:sz w:val="16"/>
      </w:rPr>
      <w:t xml:space="preserve">DTU Grocery Compare - Architecture  |  </w:t>
    </w:r>
    <w:r>
      <w:rPr>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ato" w:hAnsi="Lato"/>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ato" w:hAnsi="Lato"/>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Lato" w:hAnsi="Lato"/>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Lato" w:hAnsi="Lato"/>
      <w:b/>
      <w:bCs/>
      <w:color w:val="22222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ato" w:hAnsi="Lato"/>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ato" w:hAnsi="Lato"/>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173" w:right="173"/>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