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DTU Grocery Compare</w:t>
      </w:r>
    </w:p>
    <w:p>
      <w:pPr>
        <w:pStyle w:val="Subtitle"/>
      </w:pPr>
      <w:r>
        <w:t>Blockers, Decisions and Solutions</w:t>
      </w:r>
    </w:p>
    <w:tbl>
      <w:tblPr>
        <w:tblW w:type="auto" w:w="0"/>
        <w:jc w:val="left"/>
        <w:tblLook w:firstColumn="1" w:firstRow="1" w:lastColumn="0" w:lastRow="0" w:noHBand="0" w:noVBand="1" w:val="04A0"/>
      </w:tblPr>
      <w:tblGrid>
        <w:gridCol w:w="10166"/>
      </w:tblGrid>
      <w:tr>
        <w:tc>
          <w:tcPr>
            <w:tcW w:type="dxa" w:w="10166"/>
            <w:shd w:fill="D9EAF7"/>
            <w:tcMar>
              <w:top w:w="110" w:type="dxa"/>
              <w:start w:w="130" w:type="dxa"/>
              <w:bottom w:w="110" w:type="dxa"/>
              <w:end w:w="130" w:type="dxa"/>
            </w:tcMar>
            <w:tcBorders>
              <w:top w:val="single" w:sz="5" w:space="0" w:color="B4C6E7"/>
              <w:left w:val="single" w:sz="5" w:space="0" w:color="B4C6E7"/>
              <w:bottom w:val="single" w:sz="5" w:space="0" w:color="B4C6E7"/>
              <w:right w:val="single" w:sz="5" w:space="0" w:color="B4C6E7"/>
              <w:insideH w:val="single" w:sz="5" w:space="0" w:color="B4C6E7"/>
              <w:insideV w:val="single" w:sz="5" w:space="0" w:color="B4C6E7"/>
            </w:tcBorders>
          </w:tcPr>
          <w:p>
            <w:pPr>
              <w:spacing w:after="0"/>
            </w:pPr>
            <w:r>
              <w:rPr>
                <w:rFonts w:ascii="Lato" w:hAnsi="Lato"/>
                <w:b/>
                <w:color w:val="17365D"/>
                <w:sz w:val="18"/>
              </w:rPr>
              <w:t>Supporting submission document | Engineering issues encountered during V1</w:t>
            </w:r>
          </w:p>
        </w:tc>
      </w:tr>
    </w:tbl>
    <w:p/>
    <w:p>
      <w:r>
        <w:t>This document records the main problems encountered while implementing the prototype, the alternatives considered, the decisions made, and the residual limitations. The objective is to make the messy parts of the problem explicit rather than hiding them behind a polished demo.</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philosophy: </w:t>
            </w:r>
            <w:r>
              <w:t>Prefer transparent uncertainty, conservative identity, and graceful degradation over aggressive matching or provider-specific workarounds that are difficult to justify.</w:t>
            </w:r>
          </w:p>
        </w:tc>
      </w:tr>
    </w:tbl>
    <w:p>
      <w:r>
        <w:br w:type="page"/>
      </w:r>
    </w:p>
    <w:p>
      <w:pPr>
        <w:pStyle w:val="Heading1"/>
      </w:pPr>
      <w:r>
        <w:t>Contents</w:t>
      </w:r>
    </w:p>
    <w:tbl>
      <w:tblPr>
        <w:tblW w:type="auto" w:w="0"/>
        <w:jc w:val="left"/>
        <w:tblLook w:firstColumn="1" w:firstRow="1" w:lastColumn="0" w:lastRow="0" w:noHBand="0" w:noVBand="1" w:val="04A0"/>
      </w:tblPr>
      <w:tblGrid>
        <w:gridCol w:w="5083"/>
        <w:gridCol w:w="5083"/>
      </w:tblGrid>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Catalog titles do not align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Equal total weight is not equal SKU</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3</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Different sizes are still comparable</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4</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Unknown size and false exact matches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5</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Missing vs conflicting variants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6</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Brand inference pitfalls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7</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Irrelevant sponsored results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8</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Incomplete Blinkit search cards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9</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Blinkit location-state failure</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10</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Blinkit animated search control</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11</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Blinkit selector calibration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12</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Instamart browser automation blocked</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13</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Snapshot freshness limitation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14</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Live Instamart API integration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15</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Bundle rows vs product rows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16</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Variant-safe bundle consolidation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17</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Quantity can change the winner</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18</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Checkout pricing boundary</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19</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Partial provider failures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20</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Repeated upstream calls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21</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Blocked Instamart startup path</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22</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Credential-safe submission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23</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Live services vs deterministic tests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24</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Scaling beyond DTU</w:t>
            </w:r>
          </w:p>
        </w:tc>
      </w:tr>
    </w:tbl>
    <w:p>
      <w:r>
        <w:br w:type="page"/>
      </w:r>
    </w:p>
    <w:p>
      <w:pPr>
        <w:pStyle w:val="Heading1"/>
      </w:pPr>
      <w:r>
        <w:t>1. Catalog titles do not align</w:t>
      </w:r>
    </w:p>
    <w:p>
      <w:pPr>
        <w:pStyle w:val="Heading2"/>
      </w:pPr>
      <w:r>
        <w:t>Blocker</w:t>
      </w:r>
    </w:p>
    <w:p>
      <w:r>
        <w:t>The same physical product may be described differently on Blinkit and Instamart. Raw title equality therefore misses valid matches, while pure fuzzy matching can pair different variants.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Blinkit:  Maggi Masala 2 Minutes Noodles 420 g</w:t>
            </w:r>
            <w:r>
              <w:br/>
            </w:r>
            <w:r>
              <w:rPr>
                <w:rFonts w:ascii="DejaVu Sans Mono" w:hAnsi="DejaVu Sans Mono"/>
                <w:sz w:val="16"/>
              </w:rPr>
              <w:t>Instamart: MAGGI 2-Minute Instant Noodles, Made With Quality Spices 420 g</w:t>
            </w:r>
          </w:p>
        </w:tc>
      </w:tr>
    </w:tbl>
    <w:p>
      <w:pPr>
        <w:pStyle w:val="Heading2"/>
      </w:pPr>
      <w:r>
        <w:t>Solution</w:t>
      </w:r>
    </w:p>
    <w:p>
      <w:r>
        <w:t>Normalize listings into structured attributes such as brand, core product, flavour/variant, item quantity, unit, pack count, and total quantity. Use fuzzy title similarity only after applying hard product constraints.</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Use structured product identity plus tolerant title similarity instead of raw-string equality.</w:t>
            </w:r>
          </w:p>
        </w:tc>
      </w:tr>
    </w:tbl>
    <w:p>
      <w:pPr>
        <w:pStyle w:val="Heading2"/>
      </w:pPr>
      <w:r>
        <w:t>Remaining limitation</w:t>
      </w:r>
    </w:p>
    <w:p>
      <w:r>
        <w:t>If both platforms omit the attribute that distinguishes two variants, the system cannot reliably infer it.</w:t>
      </w:r>
    </w:p>
    <w:p>
      <w:pPr>
        <w:pStyle w:val="Heading1"/>
      </w:pPr>
      <w:r>
        <w:t>2. Equal total weight does not mean equal SKU</w:t>
      </w:r>
    </w:p>
    <w:p>
      <w:pPr>
        <w:pStyle w:val="Heading2"/>
      </w:pPr>
      <w:r>
        <w:t>Blocker</w:t>
      </w:r>
    </w:p>
    <w:p>
      <w:r>
        <w:t>A single 280 g family pack and four 70 g packs contain the same total weight but differ in packaging, convenience, and sometimes pricing. Treating total weight as SKU identity would create false exact matches.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1 x 280 g  !=  4 x 70 g</w:t>
            </w:r>
            <w:r>
              <w:br/>
            </w:r>
            <w:r>
              <w:rPr>
                <w:rFonts w:ascii="DejaVu Sans Mono" w:hAnsi="DejaVu Sans Mono"/>
                <w:sz w:val="16"/>
              </w:rPr>
              <w:t>Both total 280 g, but they are not assumed to be the same SKU.</w:t>
            </w:r>
          </w:p>
        </w:tc>
      </w:tr>
    </w:tbl>
    <w:p>
      <w:pPr>
        <w:pStyle w:val="Heading2"/>
      </w:pPr>
      <w:r>
        <w:t>Solution</w:t>
      </w:r>
    </w:p>
    <w:p>
      <w:r>
        <w:t>Store individual item size, pack count, and total quantity separately. Exact matching requires compatible pack structure, not merely equal totals.</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Pack structure is part of SKU identity.</w:t>
            </w:r>
          </w:p>
        </w:tc>
      </w:tr>
    </w:tbl>
    <w:p>
      <w:pPr>
        <w:pStyle w:val="Heading2"/>
      </w:pPr>
      <w:r>
        <w:t>Remaining limitation</w:t>
      </w:r>
    </w:p>
    <w:p>
      <w:r>
        <w:t>Some provider titles omit pack structure completely; such cases remain ambiguous.</w:t>
      </w:r>
    </w:p>
    <w:p>
      <w:pPr>
        <w:pStyle w:val="Heading1"/>
      </w:pPr>
      <w:r>
        <w:t>3. Different sizes may still be useful to compare</w:t>
      </w:r>
    </w:p>
    <w:p>
      <w:pPr>
        <w:pStyle w:val="Heading2"/>
      </w:pPr>
      <w:r>
        <w:t>Blocker</w:t>
      </w:r>
    </w:p>
    <w:p>
      <w:r>
        <w:t>Rejecting every size mismatch removes useful information. For example, one provider may stock a 51 g chips pack while the other stocks a 58 g pack of the same flavour.</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Lay's Classic Salted 51 g</w:t>
            </w:r>
            <w:r>
              <w:br/>
            </w:r>
            <w:r>
              <w:rPr>
                <w:rFonts w:ascii="DejaVu Sans Mono" w:hAnsi="DejaVu Sans Mono"/>
                <w:sz w:val="16"/>
              </w:rPr>
              <w:t>vs</w:t>
            </w:r>
            <w:r>
              <w:br/>
            </w:r>
            <w:r>
              <w:rPr>
                <w:rFonts w:ascii="DejaVu Sans Mono" w:hAnsi="DejaVu Sans Mono"/>
                <w:sz w:val="16"/>
              </w:rPr>
              <w:t>Lay's Classic Salted 58 g</w:t>
            </w:r>
            <w:r>
              <w:br/>
            </w:r>
            <w:r>
              <w:rPr>
                <w:rFonts w:ascii="DejaVu Sans Mono" w:hAnsi="DejaVu Sans Mono"/>
                <w:sz w:val="16"/>
              </w:rPr>
              <w:t>=&gt; Comparable, not Exact</w:t>
            </w:r>
          </w:p>
        </w:tc>
      </w:tr>
    </w:tbl>
    <w:p>
      <w:pPr>
        <w:pStyle w:val="Heading2"/>
      </w:pPr>
      <w:r>
        <w:t>Solution</w:t>
      </w:r>
    </w:p>
    <w:p>
      <w:r>
        <w:t>Introduce two categories: Exact Match and Comparable Product. Comparable products can be evaluated using normalized price per 100 g, 100 ml, or piece.</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Do not force every useful comparison into exact SKU equality.</w:t>
            </w:r>
          </w:p>
        </w:tc>
      </w:tr>
    </w:tbl>
    <w:p>
      <w:pPr>
        <w:pStyle w:val="Heading2"/>
      </w:pPr>
      <w:r>
        <w:t>Remaining limitation</w:t>
      </w:r>
    </w:p>
    <w:p>
      <w:r>
        <w:t>Normalized value does not capture packaging convenience or user preference.</w:t>
      </w:r>
    </w:p>
    <w:p>
      <w:pPr>
        <w:pStyle w:val="Heading1"/>
      </w:pPr>
      <w:r>
        <w:t>4. Unknown size can create false exact matches</w:t>
      </w:r>
    </w:p>
    <w:p>
      <w:pPr>
        <w:pStyle w:val="Heading2"/>
      </w:pPr>
      <w:r>
        <w:t>Blocker</w:t>
      </w:r>
    </w:p>
    <w:p>
      <w:r>
        <w:t>Two titles may be nearly identical even when one listing lacks size information. A high fuzzy score alone could otherwise label them as the same SKU.</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"Amul Butter"</w:t>
            </w:r>
            <w:r>
              <w:br/>
            </w:r>
            <w:r>
              <w:rPr>
                <w:rFonts w:ascii="DejaVu Sans Mono" w:hAnsi="DejaVu Sans Mono"/>
                <w:sz w:val="16"/>
              </w:rPr>
              <w:t>vs</w:t>
            </w:r>
            <w:r>
              <w:br/>
            </w:r>
            <w:r>
              <w:rPr>
                <w:rFonts w:ascii="DejaVu Sans Mono" w:hAnsi="DejaVu Sans Mono"/>
                <w:sz w:val="16"/>
              </w:rPr>
              <w:t>"Amul Butter 100 g"</w:t>
            </w:r>
            <w:r>
              <w:br/>
            </w:r>
            <w:r>
              <w:rPr>
                <w:rFonts w:ascii="DejaVu Sans Mono" w:hAnsi="DejaVu Sans Mono"/>
                <w:sz w:val="16"/>
              </w:rPr>
              <w:t>=&gt; not Exact while one size is unknown</w:t>
            </w:r>
          </w:p>
        </w:tc>
      </w:tr>
    </w:tbl>
    <w:p>
      <w:pPr>
        <w:pStyle w:val="Heading2"/>
      </w:pPr>
      <w:r>
        <w:t>Solution</w:t>
      </w:r>
    </w:p>
    <w:p>
      <w:r>
        <w:t>Add a hard invariant: both sides must have a known size before an exact match is allowed.</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Unknown size can never produce an exact SKU match.</w:t>
            </w:r>
          </w:p>
        </w:tc>
      </w:tr>
    </w:tbl>
    <w:p>
      <w:pPr>
        <w:pStyle w:val="Heading2"/>
      </w:pPr>
      <w:r>
        <w:t>Remaining limitation</w:t>
      </w:r>
    </w:p>
    <w:p>
      <w:r>
        <w:t>A genuinely identical product with missing size may be downgraded to comparable or remain unmatched; this is accepted to protect precision.</w:t>
      </w:r>
    </w:p>
    <w:p>
      <w:pPr>
        <w:pStyle w:val="Heading1"/>
      </w:pPr>
      <w:r>
        <w:t>5. Missing variant is not conflicting variant</w:t>
      </w:r>
    </w:p>
    <w:p>
      <w:pPr>
        <w:pStyle w:val="Heading2"/>
      </w:pPr>
      <w:r>
        <w:t>Blocker</w:t>
      </w:r>
    </w:p>
    <w:p>
      <w:r>
        <w:t>The first version risked rejecting pairs when one title omitted a variant word. "Amul Butter" may refer to salted butter even if the word salted is absent, while "salted" vs "unsalted" is a real contradiction.</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Missing:     Amul Butter  vs  Amul Salted Butter</w:t>
            </w:r>
            <w:r>
              <w:br/>
            </w:r>
            <w:r>
              <w:rPr>
                <w:rFonts w:ascii="DejaVu Sans Mono" w:hAnsi="DejaVu Sans Mono"/>
                <w:sz w:val="16"/>
              </w:rPr>
              <w:t>Conflict:    Amul Salted Butter  vs  Amul Unsalted Butter</w:t>
            </w:r>
          </w:p>
        </w:tc>
      </w:tr>
    </w:tbl>
    <w:p>
      <w:pPr>
        <w:pStyle w:val="Heading2"/>
      </w:pPr>
      <w:r>
        <w:t>Solution</w:t>
      </w:r>
    </w:p>
    <w:p>
      <w:r>
        <w:t>Distinguish absence from contradiction. Missing variant metadata creates ambiguity; explicit opposing variant terms create a hard conflict.</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Missing information lowers confidence. Contradictory information rejects the pair.</w:t>
            </w:r>
          </w:p>
        </w:tc>
      </w:tr>
    </w:tbl>
    <w:p>
      <w:pPr>
        <w:pStyle w:val="Heading1"/>
      </w:pPr>
      <w:r>
        <w:t>6. First title token is not a safe brand</w:t>
      </w:r>
    </w:p>
    <w:p>
      <w:pPr>
        <w:pStyle w:val="Heading2"/>
      </w:pPr>
      <w:r>
        <w:t>Blocker</w:t>
      </w:r>
    </w:p>
    <w:p>
      <w:r>
        <w:t>Titles may begin with generic marketing words such as Fresh, Premium, Classic, or New. Treating the first token as brand creates artificial brand conflicts.</w:t>
      </w:r>
    </w:p>
    <w:p>
      <w:pPr>
        <w:pStyle w:val="Heading2"/>
      </w:pPr>
      <w:r>
        <w:t>Solution</w:t>
      </w:r>
    </w:p>
    <w:p>
      <w:r>
        <w:t>Use a curated known-brand dictionary and aliases. Only reliable brand extraction participates in hard brand conflict logic.</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Unknown brand is safer than invented brand.</w:t>
            </w:r>
          </w:p>
        </w:tc>
      </w:tr>
    </w:tbl>
    <w:p>
      <w:pPr>
        <w:pStyle w:val="Heading2"/>
      </w:pPr>
      <w:r>
        <w:t>Remaining limitation</w:t>
      </w:r>
    </w:p>
    <w:p>
      <w:r>
        <w:t>The dictionary is not globally complete and should eventually be replaced or augmented by structured catalog brand fields where available.</w:t>
      </w:r>
    </w:p>
    <w:p>
      <w:pPr>
        <w:pStyle w:val="Heading1"/>
      </w:pPr>
      <w:r>
        <w:t>7. Search results contain irrelevant sponsored products</w:t>
      </w:r>
    </w:p>
    <w:p>
      <w:pPr>
        <w:pStyle w:val="Heading2"/>
      </w:pPr>
      <w:r>
        <w:t>Blocker</w:t>
      </w:r>
    </w:p>
    <w:p>
      <w:r>
        <w:t>Provider search pages return discovery results rather than a clean exact catalog. Searches for Maggi or Coca Cola can include unrelated sponsored snacks.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Search "Maggi"</w:t>
            </w:r>
            <w:r>
              <w:br/>
            </w:r>
            <w:r>
              <w:rPr>
                <w:rFonts w:ascii="DejaVu Sans Mono" w:hAnsi="DejaVu Sans Mono"/>
                <w:sz w:val="16"/>
              </w:rPr>
              <w:t xml:space="preserve">  -&gt; Maggi noodles (relevant)</w:t>
            </w:r>
            <w:r>
              <w:br/>
            </w:r>
            <w:r>
              <w:rPr>
                <w:rFonts w:ascii="DejaVu Sans Mono" w:hAnsi="DejaVu Sans Mono"/>
                <w:sz w:val="16"/>
              </w:rPr>
              <w:t xml:space="preserve">  -&gt; unrelated popcorn (reject)</w:t>
            </w:r>
            <w:r>
              <w:br/>
            </w:r>
            <w:r>
              <w:rPr>
                <w:rFonts w:ascii="DejaVu Sans Mono" w:hAnsi="DejaVu Sans Mono"/>
                <w:sz w:val="16"/>
              </w:rPr>
              <w:t xml:space="preserve">  -&gt; Maggi Cuppa variant (keep as relevant candidate)</w:t>
            </w:r>
          </w:p>
        </w:tc>
      </w:tr>
    </w:tbl>
    <w:p>
      <w:pPr>
        <w:pStyle w:val="Heading2"/>
      </w:pPr>
      <w:r>
        <w:t>Solution</w:t>
      </w:r>
    </w:p>
    <w:p>
      <w:r>
        <w:t>Insert a query relevance filter before cross-platform matching. Use query token overlap, token-set similarity, product/category heuristics, and recognized aliases.</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Provider search rank is not evidence of cross-platform identity.</w:t>
            </w:r>
          </w:p>
        </w:tc>
      </w:tr>
    </w:tbl>
    <w:p>
      <w:pPr>
        <w:pStyle w:val="Heading2"/>
      </w:pPr>
      <w:r>
        <w:t>Remaining limitation</w:t>
      </w:r>
    </w:p>
    <w:p>
      <w:r>
        <w:t>Relevance filtering itself is heuristic; it must avoid filtering genuine variants too aggressively.</w:t>
      </w:r>
    </w:p>
    <w:p>
      <w:pPr>
        <w:pStyle w:val="Heading1"/>
      </w:pPr>
      <w:r>
        <w:t>8. Blinkit search cards can omit critical metadata</w:t>
      </w:r>
    </w:p>
    <w:p>
      <w:pPr>
        <w:pStyle w:val="Heading2"/>
      </w:pPr>
      <w:r>
        <w:t>Blocker</w:t>
      </w:r>
    </w:p>
    <w:p>
      <w:r>
        <w:t>Some Blinkit result cards do not expose enough size, pack, or flavour information to make a safe match. Opening every product page would add too much latency and request volume.</w:t>
      </w:r>
    </w:p>
    <w:p>
      <w:pPr>
        <w:pStyle w:val="Heading2"/>
      </w:pPr>
      <w:r>
        <w:t>Solution</w:t>
      </w:r>
    </w:p>
    <w:p>
      <w:r>
        <w:t>Use two-stage enrichment. Match from search cards first, then open only a small budget of ambiguous but promising Blinkit detail pages and extract semantic fields such as Pack Size, Weight, Volume, Net Quantity, Flavour, and Product Type.</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Enrich only when the additional information can change a plausible matching decision.</w:t>
            </w:r>
          </w:p>
        </w:tc>
      </w:tr>
    </w:tbl>
    <w:p>
      <w:pPr>
        <w:pStyle w:val="Heading2"/>
      </w:pPr>
      <w:r>
        <w:t>Remaining limitation</w:t>
      </w:r>
    </w:p>
    <w:p>
      <w:r>
        <w:t>If the detail page also omits the required field, uncertainty remains and the matcher stays conservative.</w:t>
      </w:r>
    </w:p>
    <w:p>
      <w:pPr>
        <w:pStyle w:val="Heading1"/>
      </w:pPr>
      <w:r>
        <w:t>9. Blinkit location flow was state-dependent</w:t>
      </w:r>
    </w:p>
    <w:p>
      <w:pPr>
        <w:pStyle w:val="Heading2"/>
      </w:pPr>
      <w:r>
        <w:t>Blocker</w:t>
      </w:r>
    </w:p>
    <w:p>
      <w:r>
        <w:t>The first automation flow always clicked "Select Location". During live testing, the location modal was sometimes already open, so the click was intercepted by the overlay.</w:t>
      </w:r>
    </w:p>
    <w:p>
      <w:pPr>
        <w:pStyle w:val="Heading2"/>
      </w:pPr>
      <w:r>
        <w:t>Solution</w:t>
      </w:r>
    </w:p>
    <w:p>
      <w:r>
        <w:t>Make the flow state-aware: if the delivery-location input is already visible, fill it directly; otherwise open the location selector first. Verify the selected DTU location before searching.</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Automate the state that is actually visible rather than assuming one fixed UI sequence.</w:t>
            </w:r>
          </w:p>
        </w:tc>
      </w:tr>
    </w:tbl>
    <w:p>
      <w:pPr>
        <w:pStyle w:val="Heading2"/>
      </w:pPr>
      <w:r>
        <w:t>Remaining limitation</w:t>
      </w:r>
    </w:p>
    <w:p>
      <w:r>
        <w:t>Provider UI changes can still require selector maintenance.</w:t>
      </w:r>
    </w:p>
    <w:p>
      <w:pPr>
        <w:pStyle w:val="Heading1"/>
      </w:pPr>
      <w:r>
        <w:t>10. Blinkit search placeholder is animated</w:t>
      </w:r>
    </w:p>
    <w:p>
      <w:pPr>
        <w:pStyle w:val="Heading2"/>
      </w:pPr>
      <w:r>
        <w:t>Blocker</w:t>
      </w:r>
    </w:p>
    <w:p>
      <w:r>
        <w:t>The visible child text can rotate between examples such as Search "bread" and Search "milk". Using that text as the selector made the click path unstable.</w:t>
      </w:r>
    </w:p>
    <w:p>
      <w:pPr>
        <w:pStyle w:val="Heading2"/>
      </w:pPr>
      <w:r>
        <w:t>Solution</w:t>
      </w:r>
    </w:p>
    <w:p>
      <w:r>
        <w:t>Target the stable parent search control and then interact with the actual textbox that appears.</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Prefer stable semantic structure over volatile marketing/display text.</w:t>
            </w:r>
          </w:p>
        </w:tc>
      </w:tr>
    </w:tbl>
    <w:p>
      <w:pPr>
        <w:pStyle w:val="Heading1"/>
      </w:pPr>
      <w:r>
        <w:t>11. Blinkit result selectors needed live calibration</w:t>
      </w:r>
    </w:p>
    <w:p>
      <w:pPr>
        <w:pStyle w:val="Heading2"/>
      </w:pPr>
      <w:r>
        <w:t>Blocker</w:t>
      </w:r>
    </w:p>
    <w:p>
      <w:r>
        <w:t>Initial selectors produced zero cards even though product results were visibly rendered. The assumed DOM structure did not match the live page.</w:t>
      </w:r>
    </w:p>
    <w:p>
      <w:pPr>
        <w:pStyle w:val="Heading2"/>
      </w:pPr>
      <w:r>
        <w:t>Solution</w:t>
      </w:r>
    </w:p>
    <w:p>
      <w:r>
        <w:t>Inspect the rendered DOM and calibrate extraction around stable product-card structure and price-bearing elements. Keep those selectors isolated inside BlinkitProvider.</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Provider selector changes should affect one adapter, not the matching/pricing system.</w:t>
            </w:r>
          </w:p>
        </w:tc>
      </w:tr>
    </w:tbl>
    <w:p>
      <w:pPr>
        <w:pStyle w:val="Heading2"/>
      </w:pPr>
      <w:r>
        <w:t>Remaining limitation</w:t>
      </w:r>
    </w:p>
    <w:p>
      <w:r>
        <w:t>Browser-based acquisition always carries maintenance risk when the provider changes markup.</w:t>
      </w:r>
    </w:p>
    <w:p>
      <w:pPr>
        <w:pStyle w:val="Heading1"/>
      </w:pPr>
      <w:r>
        <w:t>12. Instamart browser automation was blocked</w:t>
      </w:r>
    </w:p>
    <w:p>
      <w:pPr>
        <w:pStyle w:val="Heading2"/>
      </w:pPr>
      <w:r>
        <w:t>Blocker</w:t>
      </w:r>
    </w:p>
    <w:p>
      <w:r>
        <w:t>Instamart worked manually in a normal browser, but automated Playwright sessions using both Chromium and installed Chrome returned a Request Blocked response.</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Manual browser: works</w:t>
            </w:r>
            <w:r>
              <w:br/>
            </w:r>
            <w:r>
              <w:rPr>
                <w:rFonts w:ascii="DejaVu Sans Mono" w:hAnsi="DejaVu Sans Mono"/>
                <w:sz w:val="16"/>
              </w:rPr>
              <w:t>Automated Chromium/Chrome: Request Blocked</w:t>
            </w:r>
            <w:r>
              <w:br/>
            </w:r>
            <w:r>
              <w:rPr>
                <w:rFonts w:ascii="DejaVu Sans Mono" w:hAnsi="DejaVu Sans Mono"/>
                <w:sz w:val="16"/>
              </w:rPr>
              <w:t>Decision: no bypass; use isolated fallback path</w:t>
            </w:r>
          </w:p>
        </w:tc>
      </w:tr>
    </w:tbl>
    <w:p>
      <w:pPr>
        <w:pStyle w:val="Heading2"/>
      </w:pPr>
      <w:r>
        <w:t>Solution</w:t>
      </w:r>
    </w:p>
    <w:p>
      <w:r>
        <w:t>Do not attempt stealth webdriver modifications, fingerprint spoofing, proxy rotation, automation-detection bypass, or reverse-engineering private APIs. Initially fall back to timestamped manually captured DTU snapshots behind the same provider interface.</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Keep the engineering task focused on product comparison rather than anti-bot circumvention.</w:t>
            </w:r>
          </w:p>
        </w:tc>
      </w:tr>
    </w:tbl>
    <w:p>
      <w:pPr>
        <w:pStyle w:val="Heading2"/>
      </w:pPr>
      <w:r>
        <w:t>Remaining limitation</w:t>
      </w:r>
    </w:p>
    <w:p>
      <w:r>
        <w:t>Snapshots are transparent and reliable for demo continuity but are not live.</w:t>
      </w:r>
    </w:p>
    <w:p>
      <w:pPr>
        <w:pStyle w:val="Heading1"/>
      </w:pPr>
      <w:r>
        <w:t>13. Snapshot-only Instamart data reduced freshness</w:t>
      </w:r>
    </w:p>
    <w:p>
      <w:pPr>
        <w:pStyle w:val="Heading2"/>
      </w:pPr>
      <w:r>
        <w:t>Blocker</w:t>
      </w:r>
    </w:p>
    <w:p>
      <w:r>
        <w:t>The snapshot solution was transparent and safe, but it created asymmetric freshness: Blinkit was live while Instamart represented an earlier capture.</w:t>
      </w:r>
    </w:p>
    <w:p>
      <w:pPr>
        <w:pStyle w:val="Heading2"/>
      </w:pPr>
      <w:r>
        <w:t>Solution</w:t>
      </w:r>
    </w:p>
    <w:p>
      <w:r>
        <w:t>Research a structured data source that can provide Swiggy Instamart search results by location without depending on the blocked browser path. Preserve snapshots as fallback.</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Prefer live data when it can be obtained through a clearly isolated, non-circumvention integration.</w:t>
            </w:r>
          </w:p>
        </w:tc>
      </w:tr>
    </w:tbl>
    <w:p>
      <w:pPr>
        <w:pStyle w:val="Heading2"/>
      </w:pPr>
      <w:r>
        <w:t>Remaining limitation</w:t>
      </w:r>
    </w:p>
    <w:p>
      <w:r>
        <w:t>Any third-party live data source is still an external dependency and should not be overclaimed as production-authoritative.</w:t>
      </w:r>
    </w:p>
    <w:p>
      <w:pPr>
        <w:pStyle w:val="Heading1"/>
      </w:pPr>
      <w:r>
        <w:t>14. Live Instamart API integration needed validation</w:t>
      </w:r>
    </w:p>
    <w:p>
      <w:pPr>
        <w:pStyle w:val="Heading2"/>
      </w:pPr>
      <w:r>
        <w:t>Blocker</w:t>
      </w:r>
    </w:p>
    <w:p>
      <w:r>
        <w:t>A new data source is only useful if it reflects the correct DTU catalog and approximately the same product prices that were manually observed.</w:t>
      </w:r>
    </w:p>
    <w:p>
      <w:pPr>
        <w:pStyle w:val="Heading2"/>
      </w:pPr>
      <w:r>
        <w:t>Solution</w:t>
      </w:r>
    </w:p>
    <w:p>
      <w:r>
        <w:t>Validate the provider with targeted live requests before changing application architecture. The API returned HTTP 200, structured Swiggy results and real instamart deeplinks. Observed values aligned closely with manual checks: Maggi 280 g was Rs. 60 in both, Coca-Cola 750 ml was Rs. 38 in both, and Maggi 420 g moved from a manual Rs. 80 capture to Rs. 78 in the later API response.</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Integrate the API as the preferred live Instamart source, but keep snapshots as graceful fallback.</w:t>
            </w:r>
          </w:p>
        </w:tc>
      </w:tr>
    </w:tbl>
    <w:p>
      <w:pPr>
        <w:pStyle w:val="Heading2"/>
      </w:pPr>
      <w:r>
        <w:t>Remaining limitation</w:t>
      </w:r>
    </w:p>
    <w:p>
      <w:r>
        <w:t>The API is a third-party dependency, not an official Swiggy API, and prices can legitimately change between observations.</w:t>
      </w:r>
    </w:p>
    <w:p>
      <w:pPr>
        <w:pStyle w:val="Heading1"/>
      </w:pPr>
      <w:r>
        <w:t>15. The Instamart API returns bundle offers as separate rows</w:t>
      </w:r>
    </w:p>
    <w:p>
      <w:pPr>
        <w:pStyle w:val="Heading2"/>
      </w:pPr>
      <w:r>
        <w:t>Blocker</w:t>
      </w:r>
    </w:p>
    <w:p>
      <w:r>
        <w:t>Rows such as Coca-Cola 750 ml, 750 ml x 2, and 750 ml x 12 represent one product family plus quantity pricing. Treating each row as an unrelated SKU would clutter matching and fail to exploit the offer information.</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Coca-Cola 750 ml       Rs. 38</w:t>
            </w:r>
            <w:r>
              <w:br/>
            </w:r>
            <w:r>
              <w:rPr>
                <w:rFonts w:ascii="DejaVu Sans Mono" w:hAnsi="DejaVu Sans Mono"/>
                <w:sz w:val="16"/>
              </w:rPr>
              <w:t>750 ml x 2              Rs. 65</w:t>
            </w:r>
            <w:r>
              <w:br/>
            </w:r>
            <w:r>
              <w:rPr>
                <w:rFonts w:ascii="DejaVu Sans Mono" w:hAnsi="DejaVu Sans Mono"/>
                <w:sz w:val="16"/>
              </w:rPr>
              <w:t>750 ml x 12             Rs. 387</w:t>
            </w:r>
            <w:r>
              <w:br/>
            </w:r>
            <w:r>
              <w:rPr>
                <w:rFonts w:ascii="DejaVu Sans Mono" w:hAnsi="DejaVu Sans Mono"/>
                <w:sz w:val="16"/>
              </w:rPr>
            </w:r>
            <w:r>
              <w:br/>
            </w:r>
            <w:r>
              <w:rPr>
                <w:rFonts w:ascii="DejaVu Sans Mono" w:hAnsi="DejaVu Sans Mono"/>
                <w:sz w:val="16"/>
              </w:rPr>
              <w:t>=&gt; one base listing + qty 2 / qty 12 offers</w:t>
            </w:r>
          </w:p>
        </w:tc>
      </w:tr>
    </w:tbl>
    <w:p>
      <w:pPr>
        <w:pStyle w:val="Heading2"/>
      </w:pPr>
      <w:r>
        <w:t>Solution</w:t>
      </w:r>
    </w:p>
    <w:p>
      <w:r>
        <w:t>Consolidate compatible bundle rows into a base product with quantity offers. Preserve pack multiplier explicitly and attach the total bundle price to the base listing.</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When product identity is compatible, a bundle row is pricing information for the base SKU rather than an unrelated cross-platform product.</w:t>
            </w:r>
          </w:p>
        </w:tc>
      </w:tr>
    </w:tbl>
    <w:p>
      <w:pPr>
        <w:pStyle w:val="Heading2"/>
      </w:pPr>
      <w:r>
        <w:t>Remaining limitation</w:t>
      </w:r>
    </w:p>
    <w:p>
      <w:r>
        <w:t>If a trustworthy single-unit base row does not exist, do not invent a base price; the bundle can remain a distinct pack listing.</w:t>
      </w:r>
    </w:p>
    <w:p>
      <w:pPr>
        <w:pStyle w:val="Heading1"/>
      </w:pPr>
      <w:r>
        <w:t>16. Bundle consolidation can merge variants incorrectly</w:t>
      </w:r>
    </w:p>
    <w:p>
      <w:pPr>
        <w:pStyle w:val="Heading2"/>
      </w:pPr>
      <w:r>
        <w:t>Blocker</w:t>
      </w:r>
    </w:p>
    <w:p>
      <w:r>
        <w:t>Size alone is not enough to merge quantity rows. Regular Coca-Cola 750 ml and Coca-Cola Zero Sugar 750 ml can coexist at the same size.</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Regular Coca-Cola 750 ml != Coca-Cola Zero Sugar 750 ml</w:t>
            </w:r>
          </w:p>
        </w:tc>
      </w:tr>
    </w:tbl>
    <w:p>
      <w:pPr>
        <w:pStyle w:val="Heading2"/>
      </w:pPr>
      <w:r>
        <w:t>Solution</w:t>
      </w:r>
    </w:p>
    <w:p>
      <w:r>
        <w:t>Reuse normalized brand/product/variant identity during bundle consolidation. Require compatible variant and individual item size before folding a row into a base product.</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Bundle consolidation must be at least as conservative as cross-platform matching.</w:t>
            </w:r>
          </w:p>
        </w:tc>
      </w:tr>
    </w:tbl>
    <w:p>
      <w:pPr>
        <w:pStyle w:val="Heading1"/>
      </w:pPr>
      <w:r>
        <w:t>17. Quantity changes which platform is cheapest</w:t>
      </w:r>
    </w:p>
    <w:p>
      <w:pPr>
        <w:pStyle w:val="Heading2"/>
      </w:pPr>
      <w:r>
        <w:t>Blocker</w:t>
      </w:r>
    </w:p>
    <w:p>
      <w:r>
        <w:t>A comparator that only multiplies unit price can be wrong when a platform exposes multi-buy pricing. The cheapest provider for one unit may not be cheapest for four units.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Provider A: 1 x Rs. 20 -&gt; qty 4 = Rs. 80</w:t>
            </w:r>
            <w:r>
              <w:br/>
            </w:r>
            <w:r>
              <w:rPr>
                <w:rFonts w:ascii="DejaVu Sans Mono" w:hAnsi="DejaVu Sans Mono"/>
                <w:sz w:val="16"/>
              </w:rPr>
              <w:t>Provider B: 1 x Rs. 20, 4 for Rs. 75 -&gt; qty 4 = Rs. 75</w:t>
            </w:r>
            <w:r>
              <w:br/>
            </w:r>
            <w:r>
              <w:rPr>
                <w:rFonts w:ascii="DejaVu Sans Mono" w:hAnsi="DejaVu Sans Mono"/>
                <w:sz w:val="16"/>
              </w:rPr>
              <w:t>Winner changes at quantity 4.</w:t>
            </w:r>
          </w:p>
        </w:tc>
      </w:tr>
    </w:tbl>
    <w:p>
      <w:pPr>
        <w:pStyle w:val="Heading2"/>
      </w:pPr>
      <w:r>
        <w:t>Solution</w:t>
      </w:r>
    </w:p>
    <w:p>
      <w:r>
        <w:t>Model price as totalPrice(quantity). Evaluate base units and known quantity offers to calculate the cheapest valid total for the requested quantity.</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Quantity is part of the comparison problem, not merely a UI multiplier.</w:t>
            </w:r>
          </w:p>
        </w:tc>
      </w:tr>
    </w:tbl>
    <w:p>
      <w:pPr>
        <w:pStyle w:val="Heading2"/>
      </w:pPr>
      <w:r>
        <w:t>Remaining limitation</w:t>
      </w:r>
    </w:p>
    <w:p>
      <w:r>
        <w:t>The engine only knows offers that are visible in the product/catalog data; hidden checkout offers remain out of scope.</w:t>
      </w:r>
    </w:p>
    <w:p>
      <w:pPr>
        <w:pStyle w:val="Heading1"/>
      </w:pPr>
      <w:r>
        <w:t>18. Final checkout pricing is user/cart dependent</w:t>
      </w:r>
    </w:p>
    <w:p>
      <w:pPr>
        <w:pStyle w:val="Heading2"/>
      </w:pPr>
      <w:r>
        <w:t>Blocker</w:t>
      </w:r>
    </w:p>
    <w:p>
      <w:r>
        <w:t>The final payable amount can depend on delivery charges, handling fees, membership, bank offers, coupons, payment method, cart minimums, and personalized promotions.</w:t>
      </w:r>
    </w:p>
    <w:p>
      <w:pPr>
        <w:pStyle w:val="Heading2"/>
      </w:pPr>
      <w:r>
        <w:t>Solution</w:t>
      </w:r>
    </w:p>
    <w:p>
      <w:r>
        <w:t>Define V1 explicitly as visible item-level pricing for the selected quantity. Exclude checkout-only components rather than applying them inconsistently.</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A narrow, well-defined comparison is more trustworthy than pretending to know the final checkout total.</w:t>
            </w:r>
          </w:p>
        </w:tc>
      </w:tr>
    </w:tbl>
    <w:p>
      <w:pPr>
        <w:pStyle w:val="Heading2"/>
      </w:pPr>
      <w:r>
        <w:t>Remaining limitation</w:t>
      </w:r>
    </w:p>
    <w:p>
      <w:r>
        <w:t>A production checkout comparator would need authenticated/user-specific cart simulation or official pricing APIs.</w:t>
      </w:r>
    </w:p>
    <w:p>
      <w:pPr>
        <w:pStyle w:val="Heading1"/>
      </w:pPr>
      <w:r>
        <w:t>19. One provider failure should not take down the search</w:t>
      </w:r>
    </w:p>
    <w:p>
      <w:pPr>
        <w:pStyle w:val="Heading2"/>
      </w:pPr>
      <w:r>
        <w:t>Blocker</w:t>
      </w:r>
    </w:p>
    <w:p>
      <w:r>
        <w:t>Browser automation and external APIs can fail independently. Returning a server error whenever either source fails would make the app unnecessarily fragile.</w:t>
      </w:r>
    </w:p>
    <w:p>
      <w:pPr>
        <w:pStyle w:val="Heading2"/>
      </w:pPr>
      <w:r>
        <w:t>Solution</w:t>
      </w:r>
    </w:p>
    <w:p>
      <w:r>
        <w:t>Use partial-result orchestration. Return available provider data with a clear warning/source state. For Instamart, a live API failure additionally falls back to the latest valid manual snapshot.</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Partial truth with transparent freshness is better than complete failure.</w:t>
            </w:r>
          </w:p>
        </w:tc>
      </w:tr>
    </w:tbl>
    <w:p>
      <w:pPr>
        <w:pStyle w:val="Heading2"/>
      </w:pPr>
      <w:r>
        <w:t>Remaining limitation</w:t>
      </w:r>
    </w:p>
    <w:p>
      <w:r>
        <w:t>If both providers fail and no cache/snapshot is available, the system must correctly report unavailable rather than fabricate results.</w:t>
      </w:r>
    </w:p>
    <w:p>
      <w:pPr>
        <w:pStyle w:val="Heading1"/>
      </w:pPr>
      <w:r>
        <w:t>20. Repeated searches waste upstream work</w:t>
      </w:r>
    </w:p>
    <w:p>
      <w:pPr>
        <w:pStyle w:val="Heading2"/>
      </w:pPr>
      <w:r>
        <w:t>Blocker</w:t>
      </w:r>
    </w:p>
    <w:p>
      <w:r>
        <w:t>Without caching, repeated queries trigger repeated Blinkit browser actions and consume external API credits even when the data was fetched moments earlier.</w:t>
      </w:r>
    </w:p>
    <w:p>
      <w:pPr>
        <w:pStyle w:val="Heading2"/>
      </w:pPr>
      <w:r>
        <w:t>Solution</w:t>
      </w:r>
    </w:p>
    <w:p>
      <w:r>
        <w:t>Reuse a short-lived in-memory cache keyed by query/provider/location. Retain a longer stale value for limited fallback when refresh fails and expose freshness in the response.</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"Live" does not require bypassing a sensible short cache on every click.</w:t>
            </w:r>
          </w:p>
        </w:tc>
      </w:tr>
    </w:tbl>
    <w:p>
      <w:pPr>
        <w:pStyle w:val="Heading2"/>
      </w:pPr>
      <w:r>
        <w:t>Remaining limitation</w:t>
      </w:r>
    </w:p>
    <w:p>
      <w:r>
        <w:t>A multi-process or multi-instance deployment would require a distributed cache.</w:t>
      </w:r>
    </w:p>
    <w:p>
      <w:pPr>
        <w:pStyle w:val="Heading1"/>
      </w:pPr>
      <w:r>
        <w:t>21. Normal startup still opened the known-blocked Instamart browser path</w:t>
      </w:r>
    </w:p>
    <w:p>
      <w:pPr>
        <w:pStyle w:val="Heading2"/>
      </w:pPr>
      <w:r>
        <w:t>Blocker</w:t>
      </w:r>
    </w:p>
    <w:p>
      <w:r>
        <w:t>After introducing snapshot/API acquisition, the original browser Instamart implementation still initialized during normal app startup, causing an unnecessary blocked browser window and poor demo experience.</w:t>
      </w:r>
    </w:p>
    <w:p>
      <w:pPr>
        <w:pStyle w:val="Heading2"/>
      </w:pPr>
      <w:r>
        <w:t>Solution</w:t>
      </w:r>
    </w:p>
    <w:p>
      <w:r>
        <w:t>Disable the browser Instamart path by default. Normal startup initializes Blinkit plus the structured Instamart API/snapshot path. Retain the old implementation in the codebase only as an isolated alternative/historical provider.</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Do not execute a known-failing integration in the default path merely because the code exists.</w:t>
            </w:r>
          </w:p>
        </w:tc>
      </w:tr>
    </w:tbl>
    <w:p>
      <w:pPr>
        <w:pStyle w:val="Heading1"/>
      </w:pPr>
      <w:r>
        <w:t>22. Live API credentials cannot ship in the submission</w:t>
      </w:r>
    </w:p>
    <w:p>
      <w:pPr>
        <w:pStyle w:val="Heading2"/>
      </w:pPr>
      <w:r>
        <w:t>Blocker</w:t>
      </w:r>
    </w:p>
    <w:p>
      <w:r>
        <w:t>The third-party live provider requires an API key, but the evaluator must not receive the developer secret and should still be able to run the project.</w:t>
      </w:r>
    </w:p>
    <w:p>
      <w:pPr>
        <w:pStyle w:val="Heading2"/>
      </w:pPr>
      <w:r>
        <w:t>Solution</w:t>
      </w:r>
    </w:p>
    <w:p>
      <w:r>
        <w:t>Load QUICKCOMMERCE_API_KEY only from environment/.env, keep .env gitignored and excluded from the ZIP, place only an empty key placeholder in .env.example, and automatically fall back to snapshots if no key is configured.</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Secrets are optional runtime configuration, not a prerequisite for opening the submitted project.</w:t>
            </w:r>
          </w:p>
        </w:tc>
      </w:tr>
    </w:tbl>
    <w:p>
      <w:pPr>
        <w:pStyle w:val="Heading2"/>
      </w:pPr>
      <w:r>
        <w:t>Remaining limitation</w:t>
      </w:r>
    </w:p>
    <w:p>
      <w:r>
        <w:t>Without a key, Instamart freshness is limited to the included timestamped snapshots.</w:t>
      </w:r>
    </w:p>
    <w:p>
      <w:pPr>
        <w:pStyle w:val="Heading1"/>
      </w:pPr>
      <w:r>
        <w:t>23. Live services cannot be deterministic unit-test dependencies</w:t>
      </w:r>
    </w:p>
    <w:p>
      <w:pPr>
        <w:pStyle w:val="Heading2"/>
      </w:pPr>
      <w:r>
        <w:t>Blocker</w:t>
      </w:r>
    </w:p>
    <w:p>
      <w:r>
        <w:t>Tests that call Blinkit or the external Instamart API directly would fail when inventory, prices, markup, or network conditions change even if application logic is correct.</w:t>
      </w:r>
    </w:p>
    <w:p>
      <w:pPr>
        <w:pStyle w:val="Heading2"/>
      </w:pPr>
      <w:r>
        <w:t>Solution</w:t>
      </w:r>
    </w:p>
    <w:p>
      <w:r>
        <w:t>Keep unit/regression tests deterministic by using fixtures and mocked provider responses. Verify real provider behavior separately through smoke/integration checks.</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Test business logic deterministically and test external integration separately.</w:t>
            </w:r>
          </w:p>
        </w:tc>
      </w:tr>
    </w:tbl>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Current regression status: </w:t>
            </w:r>
            <w:r>
              <w:t>49 deterministic tests pass in the frozen implementation.</w:t>
            </w:r>
          </w:p>
        </w:tc>
      </w:tr>
    </w:tbl>
    <w:p>
      <w:pPr>
        <w:pStyle w:val="Heading1"/>
      </w:pPr>
      <w:r>
        <w:t>24. The fixed-DTU architecture is not enough for large-scale traffic</w:t>
      </w:r>
    </w:p>
    <w:p>
      <w:pPr>
        <w:pStyle w:val="Heading2"/>
      </w:pPr>
      <w:r>
        <w:t>Blocker</w:t>
      </w:r>
    </w:p>
    <w:p>
      <w:r>
        <w:t>A fixed location, one browser context, and a process-local cache are appropriate for the assignment but do not directly support many regions or large concurrent user volume.</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Scaled direction:</w:t>
            </w:r>
            <w:r>
              <w:br/>
            </w:r>
            <w:r>
              <w:rPr>
                <w:rFonts w:ascii="DejaVu Sans Mono" w:hAnsi="DejaVu Sans Mono"/>
                <w:sz w:val="16"/>
              </w:rPr>
              <w:t>API/Search Coordinator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Provider worker queues</w:t>
            </w:r>
            <w:r>
              <w:br/>
            </w:r>
            <w:r>
              <w:rPr>
                <w:rFonts w:ascii="DejaVu Sans Mono" w:hAnsi="DejaVu Sans Mono"/>
                <w:sz w:val="16"/>
              </w:rPr>
              <w:t xml:space="preserve">   |             |</w:t>
            </w:r>
            <w:r>
              <w:br/>
            </w:r>
            <w:r>
              <w:rPr>
                <w:rFonts w:ascii="DejaVu Sans Mono" w:hAnsi="DejaVu Sans Mono"/>
                <w:sz w:val="16"/>
              </w:rPr>
              <w:t>Blinkit        Instamart</w:t>
            </w:r>
            <w:r>
              <w:br/>
            </w:r>
            <w:r>
              <w:rPr>
                <w:rFonts w:ascii="DejaVu Sans Mono" w:hAnsi="DejaVu Sans Mono"/>
                <w:sz w:val="16"/>
              </w:rPr>
              <w:t>workers        workers</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Distributed cache + normalized catalog store</w:t>
            </w:r>
          </w:p>
        </w:tc>
      </w:tr>
    </w:tbl>
    <w:p>
      <w:pPr>
        <w:pStyle w:val="Heading2"/>
      </w:pPr>
      <w:r>
        <w:t>Solution</w:t>
      </w:r>
    </w:p>
    <w:p>
      <w:r>
        <w:t>Make location part of provider requests and cache keys; resolve provider store regions independently; move caching to a shared system; separate provider workers from API serving; add queues, rate limits, retries, circuit breakers, telemetry, and persistent normalized catalog observations.</w:t>
      </w:r>
    </w:p>
    <w:p>
      <w:pPr>
        <w:pStyle w:val="Heading2"/>
      </w:pPr>
      <w:r>
        <w:t>Decision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Decision: </w:t>
            </w:r>
            <w:r>
              <w:t>Keep the current V1 small, but design boundaries so scaling requires replacing infrastructure rather than rewriting product identity/pricing logic.</w:t>
            </w:r>
          </w:p>
        </w:tc>
      </w:tr>
    </w:tbl>
    <w:p>
      <w:pPr>
        <w:pStyle w:val="Heading2"/>
      </w:pPr>
      <w:r>
        <w:t>Remaining limitation</w:t>
      </w:r>
    </w:p>
    <w:p>
      <w:r>
        <w:t>Production acquisition should ultimately move toward authorized merchant feeds or official partner integrations where available.</w:t>
      </w:r>
    </w:p>
    <w:p>
      <w:pPr>
        <w:pStyle w:val="Heading1"/>
      </w:pPr>
      <w:r>
        <w:t>Closing engineering principles</w:t>
      </w:r>
    </w:p>
    <w:p>
      <w:pPr>
        <w:pStyle w:val="ListBullet"/>
        <w:spacing w:after="30"/>
      </w:pPr>
      <w:r>
        <w:t>Never hide uncertainty or source freshness.</w:t>
      </w:r>
    </w:p>
    <w:p>
      <w:pPr>
        <w:pStyle w:val="ListBullet"/>
        <w:spacing w:after="30"/>
      </w:pPr>
      <w:r>
        <w:t>Never label two listings exact solely because their names look similar.</w:t>
      </w:r>
    </w:p>
    <w:p>
      <w:pPr>
        <w:pStyle w:val="ListBullet"/>
        <w:spacing w:after="30"/>
      </w:pPr>
      <w:r>
        <w:t>Treat missing information differently from contradictory information.</w:t>
      </w:r>
    </w:p>
    <w:p>
      <w:pPr>
        <w:pStyle w:val="ListBullet"/>
        <w:spacing w:after="30"/>
      </w:pPr>
      <w:r>
        <w:t>Keep pack structure explicit.</w:t>
      </w:r>
    </w:p>
    <w:p>
      <w:pPr>
        <w:pStyle w:val="ListBullet"/>
        <w:spacing w:after="30"/>
      </w:pPr>
      <w:r>
        <w:t>Use live data when practical, but degrade visibly and safely when it is unavailable.</w:t>
      </w:r>
    </w:p>
    <w:p>
      <w:pPr>
        <w:pStyle w:val="ListBullet"/>
        <w:spacing w:after="30"/>
      </w:pPr>
      <w:r>
        <w:t>Do not make anti-bot circumvention part of the solution.</w:t>
      </w:r>
    </w:p>
    <w:p>
      <w:pPr>
        <w:pStyle w:val="ListBullet"/>
        <w:spacing w:after="30"/>
      </w:pPr>
      <w:r>
        <w:t>Keep provider acquisition independent from product identity and quantity pricing.</w:t>
      </w:r>
    </w:p>
    <w:p>
      <w:pPr>
        <w:pStyle w:val="ListBullet"/>
        <w:spacing w:after="30"/>
      </w:pPr>
      <w:r>
        <w:t>Prefer a defensible conservative result over a confident-looking wrong result.</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Summary: </w:t>
            </w:r>
            <w:r>
              <w:t>The most important work in this project was not making the UI polished; it was defining the boundaries of truth when provider data, pack structure, variants, pricing, and upstream availability did not line up cleanly.</w:t>
            </w:r>
          </w:p>
        </w:tc>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66666"/>
        <w:sz w:val="16"/>
      </w:rPr>
      <w:t xml:space="preserve">DTU Grocery Compare - Blockers &amp; Solutions  |  </w:t>
    </w: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ato" w:hAnsi="Lato"/>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ato" w:hAnsi="La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ato" w:hAnsi="Lato"/>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ato" w:hAnsi="Lato"/>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ato" w:hAnsi="Lato"/>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73" w:right="173"/>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