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e23c64f436f66d47ea0ae57634fe4004418294f"/>
    <w:p>
      <w:pPr>
        <w:pStyle w:val="Heading1"/>
      </w:pPr>
      <w:r>
        <w:t xml:space="preserve">CredEasy Finance Limited — Digital Lending Policy (v1)</w:t>
      </w:r>
    </w:p>
    <w:p>
      <w:pPr>
        <w:pStyle w:val="FirstParagraph"/>
      </w:pPr>
      <w:r>
        <w:rPr>
          <w:bCs/>
          <w:b/>
        </w:rPr>
        <w:t xml:space="preserve">Document type:</w:t>
      </w:r>
      <w:r>
        <w:t xml:space="preserve"> </w:t>
      </w:r>
      <w:r>
        <w:t xml:space="preserve">Board-approved Digital Lending Policy (fictional, for Reguard AI red-teaming benchmark only)</w:t>
      </w:r>
      <w:r>
        <w:t xml:space="preserve"> </w:t>
      </w:r>
      <w:r>
        <w:rPr>
          <w:bCs/>
          <w:b/>
        </w:rPr>
        <w:t xml:space="preserve">Applicable to:</w:t>
      </w:r>
      <w:r>
        <w:t xml:space="preserve"> </w:t>
      </w:r>
      <w:r>
        <w:t xml:space="preserve">Digital Lending Apps (DLAs), Lending Service Provider (LSP) arrangements, Key Fact Statement (KFS) disclosures, and Default Loss Guarantee (DLG) arrangements, as regulated under the Reserve Bank of India (Digital Lending) Directions, 2025.</w:t>
      </w:r>
    </w:p>
    <w:p>
      <w:r>
        <w:pict>
          <v:rect style="width:0;height:1.5pt" o:hralign="center" o:hrstd="t" o:hr="t"/>
        </w:pict>
      </w:r>
    </w:p>
    <w:bookmarkStart w:id="20" w:name="grievance-redressal-mechanism"/>
    <w:p>
      <w:pPr>
        <w:pStyle w:val="Heading2"/>
      </w:pPr>
      <w:r>
        <w:t xml:space="preserve">8.1 Grievance Redressal Mechanism</w:t>
      </w:r>
    </w:p>
    <w:p>
      <w:pPr>
        <w:pStyle w:val="FirstParagraph"/>
      </w:pPr>
      <w:r>
        <w:rPr>
          <w:bCs/>
          <w:b/>
        </w:rPr>
        <w:t xml:space="preserve">Clause (Grievance redressal — Case A):</w:t>
      </w:r>
    </w:p>
    <w:p>
      <w:pPr>
        <w:pStyle w:val="BlockText"/>
      </w:pPr>
      <w:r>
        <w:t xml:space="preserve">Borrower complaints relating to digital lending are handled by the Company’s general customer-support team on a best-effort basis; there is no dedicated nodal grievance redressal officer, and unresolved complaints are escalated internally at management’s discretion rather than through a published escalation path to the RBI ombudsman.</w:t>
      </w:r>
    </w:p>
    <w:p>
      <w:pPr>
        <w:pStyle w:val="FirstParagraph"/>
      </w:pPr>
      <w:r>
        <w:rPr>
          <w:bCs/>
          <w:b/>
        </w:rPr>
        <w:t xml:space="preserve">Clause (Grievance redressal — Case B):</w:t>
      </w:r>
    </w:p>
    <w:p>
      <w:pPr>
        <w:pStyle w:val="BlockText"/>
      </w:pPr>
      <w:r>
        <w:t xml:space="preserve">The Company and each LSP with a borrower-facing interface designate a nodal grievance redressal officer, whose contact details are displayed on the Company’s website, the LSP’s website, the DLA, and the Key Fact Statement; if a complaint is unresolved or unanswered within 30 days, the borrower is informed of the option to escalate to the RBI’s Complaint Management System under the Reserve Bank - Integrated Ombudsman Scheme.</w:t>
      </w:r>
    </w:p>
    <w:bookmarkEnd w:id="20"/>
    <w:bookmarkStart w:id="21" w:name="data-storage-and-localisation"/>
    <w:p>
      <w:pPr>
        <w:pStyle w:val="Heading2"/>
      </w:pPr>
      <w:r>
        <w:t xml:space="preserve">9.2 Data Storage and Localisation</w:t>
      </w:r>
    </w:p>
    <w:p>
      <w:pPr>
        <w:pStyle w:val="FirstParagraph"/>
      </w:pPr>
      <w:r>
        <w:rPr>
          <w:bCs/>
          <w:b/>
        </w:rPr>
        <w:t xml:space="preserve">Clause (Data sharing/consent — Case A):</w:t>
      </w:r>
    </w:p>
    <w:p>
      <w:pPr>
        <w:pStyle w:val="BlockText"/>
      </w:pPr>
      <w:r>
        <w:t xml:space="preserve">For latency and cost efficiency, the Company’s LSP stores full copies of borrowers’ KYC documents, transaction history, and fingerprint-based biometric authentication data on servers operated by its overseas technology vendor, with periodic batch synchronisation back to the Company’s systems in India.</w:t>
      </w:r>
    </w:p>
    <w:p>
      <w:pPr>
        <w:pStyle w:val="FirstParagraph"/>
      </w:pPr>
      <w:r>
        <w:rPr>
          <w:bCs/>
          <w:b/>
        </w:rPr>
        <w:t xml:space="preserve">Clause (Data sharing/consent — Case B):</w:t>
      </w:r>
    </w:p>
    <w:p>
      <w:pPr>
        <w:pStyle w:val="BlockText"/>
      </w:pPr>
      <w:r>
        <w:t xml:space="preserve">The Company ensures that its LSP stores only the minimal borrower data needed for the scope of the RE-LSP agreement, that no biometric data is stored or collected by the Company or the LSP unless expressly permitted under extant statutory guidelines, and that all borrower data is stored exclusively on servers located within India, with any data processed abroad deleted from the overseas servers and returned to India within 24 hours.</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2026-09-10T09:56:06Z</dcterms:created>
  <dcterms:modified xsi:type="dcterms:W3CDTF">2026-09-10T09:56:06Z</dcterms:modified>
</cp:coreProperties>
</file>

<file path=docProps/custom.xml><?xml version="1.0" encoding="utf-8"?>
<Properties xmlns="http://schemas.openxmlformats.org/officeDocument/2006/custom-properties" xmlns:vt="http://schemas.openxmlformats.org/officeDocument/2006/docPropsVTypes"/>
</file>