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d043586dc5cecf4f52b884495fa5000ce0ed017"/>
    <w:p>
      <w:pPr>
        <w:pStyle w:val="Heading1"/>
      </w:pPr>
      <w:r>
        <w:t xml:space="preserve">RapidCredit Solutions NBFC Limited — Digital Lending Policy (v1)</w:t>
      </w:r>
    </w:p>
    <w:p>
      <w:pPr>
        <w:pStyle w:val="FirstParagraph"/>
      </w:pPr>
      <w:r>
        <w:rPr>
          <w:bCs/>
          <w:b/>
        </w:rPr>
        <w:t xml:space="preserve">Document type:</w:t>
      </w:r>
      <w:r>
        <w:t xml:space="preserve"> </w:t>
      </w:r>
      <w:r>
        <w:t xml:space="preserve">Board-approved Digital Lending Policy (fictional, for Reguard AI red-teaming benchmark only)</w:t>
      </w:r>
      <w:r>
        <w:t xml:space="preserve"> </w:t>
      </w:r>
      <w:r>
        <w:rPr>
          <w:bCs/>
          <w:b/>
        </w:rPr>
        <w:t xml:space="preserve">Applicable to:</w:t>
      </w:r>
      <w:r>
        <w:t xml:space="preserve"> </w:t>
      </w:r>
      <w:r>
        <w:t xml:space="preserve">Digital Lending Apps (DLAs), Lending Service Provider (LSP) arrangements, Key Fact Statement (KFS) disclosures, and Default Loss Guarantee (DLG) arrangements, as regulated under the Reserve Bank of India (Digital Lending) Directions, 2025.</w:t>
      </w:r>
    </w:p>
    <w:p>
      <w:r>
        <w:pict>
          <v:rect style="width:0;height:1.5pt" o:hralign="center" o:hrstd="t" o:hr="t"/>
        </w:pict>
      </w:r>
    </w:p>
    <w:bookmarkStart w:id="20" w:name="disbursement-and-repayment-flow"/>
    <w:p>
      <w:pPr>
        <w:pStyle w:val="Heading2"/>
      </w:pPr>
      <w:r>
        <w:t xml:space="preserve">5.2 Disbursement and Repayment Flow</w:t>
      </w:r>
    </w:p>
    <w:p>
      <w:pPr>
        <w:pStyle w:val="FirstParagraph"/>
      </w:pPr>
      <w:r>
        <w:rPr>
          <w:bCs/>
          <w:b/>
        </w:rPr>
        <w:t xml:space="preserve">Clause (Direct disbursal — Case A):</w:t>
      </w:r>
    </w:p>
    <w:p>
      <w:pPr>
        <w:pStyle w:val="BlockText"/>
      </w:pPr>
      <w:r>
        <w:t xml:space="preserve">To improve customer experience, loan proceeds may first be credited to a facilitation account maintained by the Company’s empanelled Lending Service Provider, which then transfers the net amount to the borrower’s bank account within the same business day, net of the LSP’s facilitation charge.</w:t>
      </w:r>
    </w:p>
    <w:p>
      <w:pPr>
        <w:pStyle w:val="FirstParagraph"/>
      </w:pPr>
      <w:r>
        <w:rPr>
          <w:bCs/>
          <w:b/>
        </w:rPr>
        <w:t xml:space="preserve">Clause (Direct disbursal — Case B):</w:t>
      </w:r>
    </w:p>
    <w:p>
      <w:pPr>
        <w:pStyle w:val="BlockText"/>
      </w:pPr>
      <w:r>
        <w:t xml:space="preserve">Disbursement of every loan is made directly into the borrower’s own bank account; the Company does not route any disbursal through a pass-through, pool, or facilitation account of the Lending Service Provider or any other third party, except where a statutory or regulatory mandate specifically permits otherwise.</w:t>
      </w:r>
    </w:p>
    <w:bookmarkEnd w:id="20"/>
    <w:bookmarkStart w:id="21" w:name="engagement-of-lending-service-providers"/>
    <w:p>
      <w:pPr>
        <w:pStyle w:val="Heading2"/>
      </w:pPr>
      <w:r>
        <w:t xml:space="preserve">3.1 Engagement of Lending Service Providers</w:t>
      </w:r>
    </w:p>
    <w:p>
      <w:pPr>
        <w:pStyle w:val="FirstParagraph"/>
      </w:pPr>
      <w:r>
        <w:rPr>
          <w:bCs/>
          <w:b/>
        </w:rPr>
        <w:t xml:space="preserve">Clause (LSP due diligence/governance — Case A):</w:t>
      </w:r>
    </w:p>
    <w:p>
      <w:pPr>
        <w:pStyle w:val="BlockText"/>
      </w:pPr>
      <w:r>
        <w:t xml:space="preserve">Once a Lending Service Provider agreement is executed, the Company treats the LSP as an independent contractor responsible for its own regulatory compliance, data-privacy practices, and conduct with borrowers; the Company’s role is limited to remitting the agreed commission and is not required to intervene in the LSP’s day-to-day origination practices.</w:t>
      </w:r>
    </w:p>
    <w:p>
      <w:pPr>
        <w:pStyle w:val="FirstParagraph"/>
      </w:pPr>
      <w:r>
        <w:rPr>
          <w:bCs/>
          <w:b/>
        </w:rPr>
        <w:t xml:space="preserve">Clause (LSP due diligence/governance — Case B):</w:t>
      </w:r>
    </w:p>
    <w:p>
      <w:pPr>
        <w:pStyle w:val="BlockText"/>
      </w:pPr>
      <w:r>
        <w:t xml:space="preserve">The Company conducts enhanced due diligence on an LSP’s technical capability, data-privacy safeguards, and conduct history before onboarding, carries out periodic reviews of the LSP’s performance against the contractual agreement, and remains fully responsible and liable to the borrower and the regulator for all acts and omissions of the LSP, notwithstanding the outsourcing arrangement.</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2026-09-10T09:56:06Z</dcterms:created>
  <dcterms:modified xsi:type="dcterms:W3CDTF">2026-09-10T09:56:06Z</dcterms:modified>
</cp:coreProperties>
</file>

<file path=docProps/custom.xml><?xml version="1.0" encoding="utf-8"?>
<Properties xmlns="http://schemas.openxmlformats.org/officeDocument/2006/custom-properties" xmlns:vt="http://schemas.openxmlformats.org/officeDocument/2006/docPropsVTypes"/>
</file>