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004ac87171b94374c22611536a02620d161a5c"/>
    <w:p>
      <w:pPr>
        <w:pStyle w:val="Heading1"/>
      </w:pPr>
      <w:r>
        <w:t xml:space="preserve">PixelPay Digital Lending Private Limited — Digital Lending Policy (v1)</w:t>
      </w:r>
    </w:p>
    <w:p>
      <w:pPr>
        <w:pStyle w:val="FirstParagraph"/>
      </w:pPr>
      <w:r>
        <w:rPr>
          <w:bCs/>
          <w:b/>
        </w:rPr>
        <w:t xml:space="preserve">Document type:</w:t>
      </w:r>
      <w:r>
        <w:t xml:space="preserve"> </w:t>
      </w:r>
      <w:r>
        <w:t xml:space="preserve">Board-approved Digital Lending Policy (fictional, for Reguard AI red-teaming benchmark only)</w:t>
      </w:r>
      <w:r>
        <w:t xml:space="preserve"> </w:t>
      </w:r>
      <w:r>
        <w:rPr>
          <w:bCs/>
          <w:b/>
        </w:rPr>
        <w:t xml:space="preserve">Applicable to:</w:t>
      </w:r>
      <w:r>
        <w:t xml:space="preserve"> </w:t>
      </w:r>
      <w:r>
        <w:t xml:space="preserve">Digital Lending Apps (DLAs), Lending Service Provider (LSP) arrangements, Key Fact Statement (KFS) disclosures, and Default Loss Guarantee (DLG) arrangements, as regulated under the Reserve Bank of India (Digital Lending) Directions, 2025.</w:t>
      </w:r>
    </w:p>
    <w:p>
      <w:r>
        <w:pict>
          <v:rect style="width:0;height:1.5pt" o:hralign="center" o:hrstd="t" o:hr="t"/>
        </w:pict>
      </w:r>
    </w:p>
    <w:bookmarkStart w:id="20" w:name="multi-lender-marketplace-display"/>
    <w:p>
      <w:pPr>
        <w:pStyle w:val="Heading2"/>
      </w:pPr>
      <w:r>
        <w:t xml:space="preserve">3.4 Multi-Lender Marketplace Display</w:t>
      </w:r>
    </w:p>
    <w:p>
      <w:pPr>
        <w:pStyle w:val="FirstParagraph"/>
      </w:pPr>
      <w:r>
        <w:rPr>
          <w:bCs/>
          <w:b/>
        </w:rPr>
        <w:t xml:space="preserve">Clause (DLA/LSP disclosure — Case A):</w:t>
      </w:r>
    </w:p>
    <w:p>
      <w:pPr>
        <w:pStyle w:val="BlockText"/>
      </w:pPr>
      <w:r>
        <w:t xml:space="preserve">Where the Company’s empanelled LSP operates a multi-lender marketplace, loan offers from the Company are displayed with a</w:t>
      </w:r>
      <w:r>
        <w:t xml:space="preserve"> </w:t>
      </w:r>
      <w:r>
        <w:t xml:space="preserve">‘</w:t>
      </w:r>
      <w:r>
        <w:t xml:space="preserve">Recommended Partner</w:t>
      </w:r>
      <w:r>
        <w:t xml:space="preserve">’</w:t>
      </w:r>
      <w:r>
        <w:t xml:space="preserve"> </w:t>
      </w:r>
      <w:r>
        <w:t xml:space="preserve">badge and placed above other matching lenders’ offers on the borrower’s screen, reflecting the Company’s higher commercial priority tier with the LSP.</w:t>
      </w:r>
    </w:p>
    <w:p>
      <w:pPr>
        <w:pStyle w:val="FirstParagraph"/>
      </w:pPr>
      <w:r>
        <w:rPr>
          <w:bCs/>
          <w:b/>
        </w:rPr>
        <w:t xml:space="preserve">Clause (DLA/LSP disclosure — Case B):</w:t>
      </w:r>
    </w:p>
    <w:p>
      <w:pPr>
        <w:pStyle w:val="BlockText"/>
      </w:pPr>
      <w:r>
        <w:t xml:space="preserve">Where the Company’s empanelled LSP operates a multi-lender marketplace, the digital view of matching loan offers presented to the borrower is unbiased and objective, is not arranged to directly or indirectly promote the Company’s offer over other matching lenders’, and any ranking applied is based solely on a metric that the LSP has publicly pre-disclosed.</w:t>
      </w:r>
    </w:p>
    <w:bookmarkEnd w:id="20"/>
    <w:bookmarkStart w:id="21" w:name="X7d9a3d2fe7a61389a45313ff45bfd02b8aa3919"/>
    <w:p>
      <w:pPr>
        <w:pStyle w:val="Heading2"/>
      </w:pPr>
      <w:r>
        <w:t xml:space="preserve">4.2 Creditworthiness Assessment and Limit Revision</w:t>
      </w:r>
    </w:p>
    <w:p>
      <w:pPr>
        <w:pStyle w:val="FirstParagraph"/>
      </w:pPr>
      <w:r>
        <w:rPr>
          <w:bCs/>
          <w:b/>
        </w:rPr>
        <w:t xml:space="preserve">Clause (Credit line enhancement — Case A):</w:t>
      </w:r>
    </w:p>
    <w:p>
      <w:pPr>
        <w:pStyle w:val="BlockText"/>
      </w:pPr>
      <w:r>
        <w:t xml:space="preserve">Based on the borrower’s repayment behaviour over the first three EMIs, the Company’s risk engine may proactively pre-approve and activate an increased credit limit on the borrower’s digital credit line, which the borrower can start drawing immediately; the borrower is notified of the enhanced limit by an in-app banner after activation.</w:t>
      </w:r>
    </w:p>
    <w:p>
      <w:pPr>
        <w:pStyle w:val="FirstParagraph"/>
      </w:pPr>
      <w:r>
        <w:rPr>
          <w:bCs/>
          <w:b/>
        </w:rPr>
        <w:t xml:space="preserve">Clause (Credit line enhancement — Case B):</w:t>
      </w:r>
    </w:p>
    <w:p>
      <w:pPr>
        <w:pStyle w:val="BlockText"/>
      </w:pPr>
      <w:r>
        <w:t xml:space="preserve">The Company assesses each borrower’s creditworthiness using, at minimum, age, occupation, and income information kept on record for audit purposes, and does not increase a borrower’s credit limit automatically; any increase is actioned only after an explicit request from the borrower is received, evaluated, and kept on record.</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2026-09-10T09:56:06Z</dcterms:created>
  <dcterms:modified xsi:type="dcterms:W3CDTF">2026-09-10T09:56:06Z</dcterms:modified>
</cp:coreProperties>
</file>

<file path=docProps/custom.xml><?xml version="1.0" encoding="utf-8"?>
<Properties xmlns="http://schemas.openxmlformats.org/officeDocument/2006/custom-properties" xmlns:vt="http://schemas.openxmlformats.org/officeDocument/2006/docPropsVTypes"/>
</file>