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i/>
          <w:iCs/>
        </w:rPr>
        <w:t xml:space="preserve">FICTIONAL TRAINING DOCUMENT — NOT A REAL POLICY</w:t>
      </w:r>
    </w:p>
    <w:p>
      <w:pPr>
        <w:spacing w:after="200"/>
      </w:pPr>
      <w:r>
        <w:rPr>
          <w:b/>
          <w:bCs/>
          <w:sz w:val="32"/>
          <w:szCs w:val="32"/>
        </w:rPr>
        <w:t xml:space="preserve">QuickDisburse </w:t>
      </w:r>
      <w:r>
        <w:rPr>
          <w:b/>
          <w:bCs/>
          <w:sz w:val="32"/>
          <w:szCs w:val="32"/>
        </w:rPr>
        <w:t xml:space="preserve">Digital Lending Onboarding &amp; Disbursal Policy</w:t>
      </w:r>
    </w:p>
    <w:p>
      <w:pPr>
        <w:spacing w:after="200"/>
      </w:pPr>
      <w:r>
        <w:t xml:space="preserve">Document ID: QD-DL-POL-001  |  Version: 1.0  |  Classification: Internal</w:t>
      </w:r>
    </w:p>
    <w:p>
      <w:pPr>
        <w:spacing w:after="200"/>
      </w:pPr>
      <w:r>
        <w:t xml:space="preserve">Effective Date: 01-Apr-2026   |   Owner: Chief Compliance Officer</w:t>
      </w:r>
    </w:p>
    <w:p>
      <w:pPr>
        <w:spacing w:after="200"/>
      </w:pPr>
      <w:r>
        <w:rPr>
          <w:i/>
          <w:iCs/>
        </w:rPr>
        <w:t xml:space="preserve">NOTICE: QuickDisburse is a fictional company. This document is a synthetic training artifact created for internal compliance-review, audit-simulation, and red-team exercises. It intentionally contains a subtle policy gap for reviewers to identify. It must not be used as an actual digital lending procedure, cited as regulatory guidance, or presented as a real institution's policy.</w:t>
      </w:r>
    </w:p>
    <w:p>
      <w:pPr>
        <w:pStyle w:val="Heading1"/>
      </w:pPr>
      <w:r>
        <w:t xml:space="preserve">1. Purpose</w:t>
      </w:r>
    </w:p>
    <w:p>
      <w:pPr>
        <w:spacing w:after="200"/>
      </w:pPr>
      <w:r>
        <w:t xml:space="preserve">This policy establishes QuickDisburse's framework for digital lending onboarding, disclosure, disbursal, and repayment controls, consistent with applicable Reserve Bank of India (RBI) Digital Lending Directions and Fair Lending Practice guidance on penal charges, as amended.</w:t>
      </w:r>
    </w:p>
    <w:p>
      <w:pPr>
        <w:pStyle w:val="Heading1"/>
      </w:pPr>
      <w:r>
        <w:t xml:space="preserve">2. Scope</w:t>
      </w:r>
    </w:p>
    <w:p>
      <w:pPr>
        <w:spacing w:after="200"/>
      </w:pPr>
      <w:r>
        <w:t xml:space="preserve">This policy applies to all retail borrowers acquired through QuickDisburse's mobile application and web platform (the "App"), and to all employees, contractors, and Lending Service Providers (LSPs) involved in customer acquisition, underwriting support, disbursal, servicing, and recovery.</w:t>
      </w:r>
    </w:p>
    <w:p>
      <w:pPr>
        <w:pStyle w:val="Heading1"/>
      </w:pPr>
      <w:r>
        <w:t xml:space="preserve">3. Borrower Onboarding &amp; Creditworthiness Assessment</w:t>
      </w:r>
    </w:p>
    <w:p>
      <w:pPr>
        <w:pStyle w:val="ListParagraph"/>
        <w:numPr>
          <w:ilvl w:val="0"/>
          <w:numId w:val="1"/>
        </w:numPr>
        <w:spacing w:after="100"/>
      </w:pPr>
      <w:r>
        <w:t xml:space="preserve">All new borrowers complete e-KYC and provide economic profile information (age, occupation, income) prior to loan approval, consistent with underwriting policy.</w:t>
      </w:r>
    </w:p>
    <w:p>
      <w:pPr>
        <w:pStyle w:val="ListParagraph"/>
        <w:numPr>
          <w:ilvl w:val="0"/>
          <w:numId w:val="1"/>
        </w:numPr>
        <w:spacing w:after="100"/>
      </w:pPr>
      <w:r>
        <w:t xml:space="preserve">Loan offers matched by an LSP across partner lenders are displayed to the borrower in a digital comparison view, showing loan amount, tenor, and monthly repayment obligation for each matching offer.</w:t>
      </w:r>
    </w:p>
    <w:p>
      <w:pPr>
        <w:pStyle w:val="ListParagraph"/>
        <w:numPr>
          <w:ilvl w:val="0"/>
          <w:numId w:val="1"/>
        </w:numPr>
        <w:spacing w:after="100"/>
      </w:pPr>
      <w:r>
        <w:t xml:space="preserve">Any increase in an existing borrower's pre-approved credit limit requires the borrower's explicit affirmative request, which is recorded and retained for audit.</w:t>
      </w:r>
    </w:p>
    <w:p>
      <w:pPr>
        <w:pStyle w:val="Heading1"/>
      </w:pPr>
      <w:r>
        <w:t xml:space="preserve">4. Key Fact Statement (KFS) and APR Disclosure</w:t>
      </w:r>
    </w:p>
    <w:p>
      <w:pPr>
        <w:spacing w:after="200"/>
      </w:pPr>
      <w:r>
        <w:t xml:space="preserve">Every sanctioned loan is accompanied by a Key Fact Statement (KFS) presented to the borrower before loan execution. The KFS states the loan amount, tenor, monthly instalment, and the Annual Percentage Rate (APR) applicable to the loan.</w:t>
      </w:r>
    </w:p>
    <w:p>
      <w:pPr>
        <w:spacing w:after="200"/>
      </w:pPr>
      <w:r>
        <w:t xml:space="preserve">The APR shown in the KFS reflects the contracted rate of interest on the outstanding principal. Processing fees, bundled insurance premiums, and platform convenience fees are one-time or product-linked charges collected separately from the interest rate and are itemised in the Schedule of Charges and the post-disbursal account statement rather than folded into the headline APR figure. The table below summarises how each charge component is disclosed.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D9D9D9" w:val="clear"/>
          </w:tcPr>
          <w:p>
            <w:r>
              <w:rPr>
                <w:b/>
                <w:bCs/>
              </w:rPr>
              <w:t xml:space="preserve">Fee / Charge Component</w:t>
            </w:r>
          </w:p>
        </w:tc>
        <w:tc>
          <w:tcPr>
            <w:tcW w:type="dxa" w:w="2600"/>
            <w:shd w:fill="D9D9D9" w:val="clear"/>
          </w:tcPr>
          <w:p>
            <w:r>
              <w:rPr>
                <w:b/>
                <w:bCs/>
              </w:rPr>
              <w:t xml:space="preserve">Included in Headline APR?</w:t>
            </w:r>
          </w:p>
        </w:tc>
        <w:tc>
          <w:tcPr>
            <w:tcW w:type="dxa" w:w="4200"/>
            <w:shd w:fill="D9D9D9" w:val="clear"/>
          </w:tcPr>
          <w:p>
            <w:r>
              <w:rPr>
                <w:b/>
                <w:bCs/>
              </w:rPr>
              <w:t xml:space="preserve">Where Disclosed</w:t>
            </w:r>
          </w:p>
        </w:tc>
      </w:tr>
      <w:tr>
        <w:tc>
          <w:tcPr>
            <w:tcW w:type="dxa" w:w="2600"/>
          </w:tcPr>
          <w:p>
            <w:r>
              <w:rPr>
                <w:b w:val="false"/>
                <w:bCs w:val="false"/>
              </w:rPr>
              <w:t xml:space="preserve">Contracted interest (annualised)</w:t>
            </w:r>
          </w:p>
        </w:tc>
        <w:tc>
          <w:tcPr>
            <w:tcW w:type="dxa" w:w="2600"/>
          </w:tcPr>
          <w:p>
            <w:r>
              <w:rPr>
                <w:b w:val="false"/>
                <w:bCs w:val="false"/>
              </w:rPr>
              <w:t xml:space="preserve">Yes</w:t>
            </w:r>
          </w:p>
        </w:tc>
        <w:tc>
          <w:tcPr>
            <w:tcW w:type="dxa" w:w="4200"/>
          </w:tcPr>
          <w:p>
            <w:r>
              <w:rPr>
                <w:b w:val="false"/>
                <w:bCs w:val="false"/>
              </w:rPr>
              <w:t xml:space="preserve">Key Fact Statement (KFS), headline APR field</w:t>
            </w:r>
          </w:p>
        </w:tc>
      </w:tr>
      <w:tr>
        <w:tc>
          <w:tcPr>
            <w:tcW w:type="dxa" w:w="2600"/>
          </w:tcPr>
          <w:p>
            <w:r>
              <w:rPr>
                <w:b w:val="false"/>
                <w:bCs w:val="false"/>
              </w:rPr>
              <w:t xml:space="preserve">One-time processing fee (up to 4% of sanctioned amount)</w:t>
            </w:r>
          </w:p>
        </w:tc>
        <w:tc>
          <w:tcPr>
            <w:tcW w:type="dxa" w:w="2600"/>
          </w:tcPr>
          <w:p>
            <w:r>
              <w:rPr>
                <w:b w:val="false"/>
                <w:bCs w:val="false"/>
              </w:rPr>
              <w:t xml:space="preserve">No</w:t>
            </w:r>
          </w:p>
        </w:tc>
        <w:tc>
          <w:tcPr>
            <w:tcW w:type="dxa" w:w="4200"/>
          </w:tcPr>
          <w:p>
            <w:r>
              <w:rPr>
                <w:b w:val="false"/>
                <w:bCs w:val="false"/>
              </w:rPr>
              <w:t xml:space="preserve">Loan agreement, Schedule of Charges (separate PDF)</w:t>
            </w:r>
          </w:p>
        </w:tc>
      </w:tr>
      <w:tr>
        <w:tc>
          <w:tcPr>
            <w:tcW w:type="dxa" w:w="2600"/>
          </w:tcPr>
          <w:p>
            <w:r>
              <w:rPr>
                <w:b w:val="false"/>
                <w:bCs w:val="false"/>
              </w:rPr>
              <w:t xml:space="preserve">Bundled credit-shield insurance premium</w:t>
            </w:r>
          </w:p>
        </w:tc>
        <w:tc>
          <w:tcPr>
            <w:tcW w:type="dxa" w:w="2600"/>
          </w:tcPr>
          <w:p>
            <w:r>
              <w:rPr>
                <w:b w:val="false"/>
                <w:bCs w:val="false"/>
              </w:rPr>
              <w:t xml:space="preserve">No</w:t>
            </w:r>
          </w:p>
        </w:tc>
        <w:tc>
          <w:tcPr>
            <w:tcW w:type="dxa" w:w="4200"/>
          </w:tcPr>
          <w:p>
            <w:r>
              <w:rPr>
                <w:b w:val="false"/>
                <w:bCs w:val="false"/>
              </w:rPr>
              <w:t xml:space="preserve">Insurance certificate issued post-disbursal</w:t>
            </w:r>
          </w:p>
        </w:tc>
      </w:tr>
      <w:tr>
        <w:tc>
          <w:tcPr>
            <w:tcW w:type="dxa" w:w="2600"/>
          </w:tcPr>
          <w:p>
            <w:r>
              <w:rPr>
                <w:b w:val="false"/>
                <w:bCs w:val="false"/>
              </w:rPr>
              <w:t xml:space="preserve">Convenience fee (app/platform usage)</w:t>
            </w:r>
          </w:p>
        </w:tc>
        <w:tc>
          <w:tcPr>
            <w:tcW w:type="dxa" w:w="2600"/>
          </w:tcPr>
          <w:p>
            <w:r>
              <w:rPr>
                <w:b w:val="false"/>
                <w:bCs w:val="false"/>
              </w:rPr>
              <w:t xml:space="preserve">No</w:t>
            </w:r>
          </w:p>
        </w:tc>
        <w:tc>
          <w:tcPr>
            <w:tcW w:type="dxa" w:w="4200"/>
          </w:tcPr>
          <w:p>
            <w:r>
              <w:rPr>
                <w:b w:val="false"/>
                <w:bCs w:val="false"/>
              </w:rPr>
              <w:t xml:space="preserve">Deducted from disbursal amount; itemised in account statement only</w:t>
            </w:r>
          </w:p>
        </w:tc>
      </w:tr>
    </w:tbl>
    <w:p>
      <w:pPr>
        <w:spacing w:after="200"/>
      </w:pPr>
      <w:r>
        <w:t xml:space="preserve">This structure allows the headline APR shown to the borrower at the point of loan offer comparison to reflect interest cost alone, while processing fee, insurance, and convenience-fee components are surfaced only in downstream documents generated after the borrower has already selected an offer.</w:t>
      </w:r>
    </w:p>
    <w:p>
      <w:pPr>
        <w:pStyle w:val="Heading1"/>
      </w:pPr>
      <w:r>
        <w:t xml:space="preserve">5. Loan Disbursal</w:t>
      </w:r>
    </w:p>
    <w:p>
      <w:pPr>
        <w:pStyle w:val="ListParagraph"/>
        <w:numPr>
          <w:ilvl w:val="0"/>
          <w:numId w:val="1"/>
        </w:numPr>
        <w:spacing w:after="100"/>
      </w:pPr>
      <w:r>
        <w:t xml:space="preserve">On approval, the sanctioned amount is disbursed to the LSP's designated facilitation account, which nets the applicable processing fee, bundled insurance premium, and convenience fee before crediting the residual balance to the borrower's bank account, typically within one business day.</w:t>
      </w:r>
    </w:p>
    <w:p>
      <w:pPr>
        <w:pStyle w:val="ListParagraph"/>
        <w:numPr>
          <w:ilvl w:val="0"/>
          <w:numId w:val="1"/>
        </w:numPr>
        <w:spacing w:after="100"/>
      </w:pPr>
      <w:r>
        <w:t xml:space="preserve">The borrower's account statement reflects the net amount credited; the gross sanctioned amount and the itemised deductions are available on request from the LSP.</w:t>
      </w:r>
    </w:p>
    <w:p>
      <w:pPr>
        <w:pStyle w:val="ListParagraph"/>
        <w:numPr>
          <w:ilvl w:val="0"/>
          <w:numId w:val="1"/>
        </w:numPr>
        <w:spacing w:after="100"/>
      </w:pPr>
      <w:r>
        <w:t xml:space="preserve">Loan servicing and EMI collection are executed via auto-debit mandate directly against the borrower's registered bank account.</w:t>
      </w:r>
    </w:p>
    <w:p>
      <w:pPr>
        <w:pStyle w:val="Heading1"/>
      </w:pPr>
      <w:r>
        <w:t xml:space="preserve">6. Cooling-Off / Loan Exit</w:t>
      </w:r>
    </w:p>
    <w:p>
      <w:pPr>
        <w:spacing w:after="200"/>
      </w:pPr>
      <w:r>
        <w:t xml:space="preserve">A borrower who wishes to exit a loan shortly after disbursal may do so during a cooling-off window of 3 calendar days from the date of disbursal by repaying the disbursed principal together with interest accrued for the period of usage. The one-time processing fee, bundled insurance premium, and convenience fee collected at disbursal are treated as earned upon disbursement and are not refunded on cooling-off exit.</w:t>
      </w:r>
    </w:p>
    <w:p>
      <w:pPr>
        <w:pStyle w:val="Heading1"/>
      </w:pPr>
      <w:r>
        <w:t xml:space="preserve">7. Penal Charges</w:t>
      </w:r>
    </w:p>
    <w:p>
      <w:pPr>
        <w:spacing w:after="200"/>
      </w:pPr>
      <w:r>
        <w:t xml:space="preserve">Reasonable penal charges may apply for delayed EMI payment, in accordance with the Board-approved penal charges policy. Penal charges are disclosed to the borrower in the KFS and loan agreement and are not compounded.</w:t>
      </w:r>
    </w:p>
    <w:p>
      <w:pPr>
        <w:pStyle w:val="Heading1"/>
      </w:pPr>
      <w:r>
        <w:t xml:space="preserve">8. Grievance Redressal</w:t>
      </w:r>
    </w:p>
    <w:p>
      <w:pPr>
        <w:pStyle w:val="ListParagraph"/>
        <w:numPr>
          <w:ilvl w:val="0"/>
          <w:numId w:val="1"/>
        </w:numPr>
        <w:spacing w:after="100"/>
      </w:pPr>
      <w:r>
        <w:t xml:space="preserve">QuickDisburse designates a nodal Grievance Redressal Officer for digital lending complaints, whose contact details are published on the App and website.</w:t>
      </w:r>
    </w:p>
    <w:p>
      <w:pPr>
        <w:pStyle w:val="ListParagraph"/>
        <w:numPr>
          <w:ilvl w:val="0"/>
          <w:numId w:val="1"/>
        </w:numPr>
        <w:spacing w:after="100"/>
      </w:pPr>
      <w:r>
        <w:t xml:space="preserve">Unresolved complaints may be escalated by the borrower to RBI's Complaint Management System (CMS) under the Reserve Bank-Integrated Ombudsman Scheme.</w:t>
      </w:r>
    </w:p>
    <w:p>
      <w:pPr>
        <w:pStyle w:val="Heading1"/>
      </w:pPr>
      <w:r>
        <w:t xml:space="preserve">9. Roles and Responsibilities</w:t>
      </w:r>
    </w:p>
    <w:p>
      <w:pPr>
        <w:pStyle w:val="ListParagraph"/>
        <w:numPr>
          <w:ilvl w:val="0"/>
          <w:numId w:val="1"/>
        </w:numPr>
        <w:spacing w:after="100"/>
      </w:pPr>
      <w:r>
        <w:t xml:space="preserve">Chief Compliance Officer: overall accountability for digital lending program effectiveness and RBI Digital Lending Directions compliance.</w:t>
      </w:r>
    </w:p>
    <w:p>
      <w:pPr>
        <w:pStyle w:val="ListParagraph"/>
        <w:numPr>
          <w:ilvl w:val="0"/>
          <w:numId w:val="1"/>
        </w:numPr>
        <w:spacing w:after="100"/>
      </w:pPr>
      <w:r>
        <w:t xml:space="preserve">Product &amp; Disbursal Operations: administers the LSP facilitation account, fee deduction, and net disbursal process described in Section 5.</w:t>
      </w:r>
    </w:p>
    <w:p>
      <w:pPr>
        <w:pStyle w:val="ListParagraph"/>
        <w:numPr>
          <w:ilvl w:val="0"/>
          <w:numId w:val="1"/>
        </w:numPr>
        <w:spacing w:after="100"/>
      </w:pPr>
      <w:r>
        <w:t xml:space="preserve">Grievance Redressal Officer: point of contact for borrower complaints and RBI CMS escalations.</w:t>
      </w:r>
    </w:p>
    <w:p>
      <w:pPr>
        <w:pStyle w:val="Heading1"/>
      </w:pPr>
      <w:r>
        <w:t xml:space="preserve">10. Policy Review</w:t>
      </w:r>
    </w:p>
    <w:p>
      <w:pPr>
        <w:spacing w:after="200"/>
      </w:pPr>
      <w:r>
        <w:t xml:space="preserve">This policy shall be reviewed annually and upon any material change to RBI Digital Lending Directions or Fair Lending Practice guidance on penal charges.</w:t>
      </w:r>
    </w:p>
    <w:p>
      <w:pPr>
        <w:spacing w:before="400"/>
        <w:jc w:val="center"/>
      </w:pPr>
      <w:r>
        <w:rPr>
          <w:i/>
          <w:iCs/>
        </w:rPr>
        <w:t xml:space="preserve">— End of Document —</w:t>
      </w:r>
    </w:p>
    <w:p>
      <w:pPr>
        <w:spacing w:after="200"/>
      </w:pPr>
      <w:r>
        <w:t xml:space="preserve">QuickDisburse (fictitious entity) — Digital Lending Onboarding &amp; Disbursal Policy —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2026-09-09T18:37:21.985Z</dcterms:created>
  <dcterms:modified xsi:type="dcterms:W3CDTF">2026-09-09T18:37:22.000Z</dcterms:modified>
</cp:coreProperties>
</file>

<file path=docProps/custom.xml><?xml version="1.0" encoding="utf-8"?>
<Properties xmlns="http://schemas.openxmlformats.org/officeDocument/2006/custom-properties" xmlns:vt="http://schemas.openxmlformats.org/officeDocument/2006/docPropsVTypes"/>
</file>