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a6bd403928896e3e2881de7ecf3c856a2eae22"/>
    <w:p>
      <w:pPr>
        <w:pStyle w:val="Heading1"/>
      </w:pPr>
      <w:r>
        <w:t xml:space="preserve">QuickLend Fintech Private Limited — Digital Lending Policy (v1)</w:t>
      </w:r>
    </w:p>
    <w:p>
      <w:pPr>
        <w:pStyle w:val="FirstParagraph"/>
      </w:pPr>
      <w:r>
        <w:rPr>
          <w:bCs/>
          <w:b/>
        </w:rPr>
        <w:t xml:space="preserve">Document type:</w:t>
      </w:r>
      <w:r>
        <w:t xml:space="preserve"> </w:t>
      </w:r>
      <w:r>
        <w:t xml:space="preserve">Board-approved Digital Lending Policy (fictional, for Reguard AI red-teaming benchmark only)</w:t>
      </w:r>
      <w:r>
        <w:t xml:space="preserve"> </w:t>
      </w:r>
      <w:r>
        <w:rPr>
          <w:bCs/>
          <w:b/>
        </w:rPr>
        <w:t xml:space="preserve">Applicable to:</w:t>
      </w:r>
      <w:r>
        <w:t xml:space="preserve"> </w:t>
      </w:r>
      <w:r>
        <w:t xml:space="preserve">Digital Lending Apps (DLAs), Lending Service Provider (LSP) arrangements, Key Fact Statement (KFS) disclosures, and Default Loss Guarantee (DLG) arrangements, as regulated under the Reserve Bank of India (Digital Lending) Directions, 2025.</w:t>
      </w:r>
    </w:p>
    <w:p>
      <w:r>
        <w:pict>
          <v:rect style="width:0;height:1.5pt" o:hralign="center" o:hrstd="t" o:hr="t"/>
        </w:pict>
      </w:r>
    </w:p>
    <w:bookmarkStart w:id="20" w:name="key-fact-statement-and-apr"/>
    <w:p>
      <w:pPr>
        <w:pStyle w:val="Heading2"/>
      </w:pPr>
      <w:r>
        <w:t xml:space="preserve">4.1 Key Fact Statement and APR</w:t>
      </w:r>
    </w:p>
    <w:p>
      <w:pPr>
        <w:pStyle w:val="FirstParagraph"/>
      </w:pPr>
      <w:r>
        <w:rPr>
          <w:bCs/>
          <w:b/>
        </w:rPr>
        <w:t xml:space="preserve">Clause (APR/KFS disclosure — Case A):</w:t>
      </w:r>
    </w:p>
    <w:p>
      <w:pPr>
        <w:pStyle w:val="BlockText"/>
      </w:pPr>
      <w:r>
        <w:t xml:space="preserve">The Annual Percentage Rate shown in the Key Fact Statement reflects interest charges only; processing fees, documentation charges, and any bundled insurance premium are itemised separately elsewhere in the sanction letter and are not included in the headline APR figure.</w:t>
      </w:r>
    </w:p>
    <w:p>
      <w:pPr>
        <w:pStyle w:val="FirstParagraph"/>
      </w:pPr>
      <w:r>
        <w:rPr>
          <w:bCs/>
          <w:b/>
        </w:rPr>
        <w:t xml:space="preserve">Clause (APR/KFS disclosure — Case B):</w:t>
      </w:r>
    </w:p>
    <w:p>
      <w:pPr>
        <w:pStyle w:val="BlockText"/>
      </w:pPr>
      <w:r>
        <w:t xml:space="preserve">The Annual Percentage Rate disclosed in the Key Fact Statement is computed as an all-inclusive cost of credit, incorporating interest, processing fees, documentation charges, and any mandatory insurance premium bundled with the loan, in line with the Company’s KFS format.</w:t>
      </w:r>
    </w:p>
    <w:bookmarkEnd w:id="20"/>
    <w:bookmarkStart w:id="21" w:name="cooling-off-period"/>
    <w:p>
      <w:pPr>
        <w:pStyle w:val="Heading2"/>
      </w:pPr>
      <w:r>
        <w:t xml:space="preserve">4.4 Cooling-off Period</w:t>
      </w:r>
    </w:p>
    <w:p>
      <w:pPr>
        <w:pStyle w:val="FirstParagraph"/>
      </w:pPr>
      <w:r>
        <w:rPr>
          <w:bCs/>
          <w:b/>
        </w:rPr>
        <w:t xml:space="preserve">Clause (Cooling-off period — Case A):</w:t>
      </w:r>
    </w:p>
    <w:p>
      <w:pPr>
        <w:pStyle w:val="BlockText"/>
      </w:pPr>
      <w:r>
        <w:t xml:space="preserve">Borrowers may exit a digital loan within the cooling-off window by repaying the principal, proportionate interest, and a cooling-off exit charge equal to 2% of the sanctioned loan amount, which is separate from and in addition to the one-time processing fee retained by the Company.</w:t>
      </w:r>
    </w:p>
    <w:p>
      <w:pPr>
        <w:pStyle w:val="FirstParagraph"/>
      </w:pPr>
      <w:r>
        <w:rPr>
          <w:bCs/>
          <w:b/>
        </w:rPr>
        <w:t xml:space="preserve">Clause (Cooling-off period — Case B):</w:t>
      </w:r>
    </w:p>
    <w:p>
      <w:pPr>
        <w:pStyle w:val="BlockText"/>
      </w:pPr>
      <w:r>
        <w:t xml:space="preserve">During the cooling-off period fixed by the Board (not less than one day from disbursal), the borrower may exit the loan by paying only the principal and proportionate interest, without any penalty; the Company may retain only a reasonable one-time processing fee, disclosed upfront in the Key Fact Statement.</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2026-09-10T09:56:06Z</dcterms:created>
  <dcterms:modified xsi:type="dcterms:W3CDTF">2026-09-10T09:56:06Z</dcterms:modified>
</cp:coreProperties>
</file>

<file path=docProps/custom.xml><?xml version="1.0" encoding="utf-8"?>
<Properties xmlns="http://schemas.openxmlformats.org/officeDocument/2006/custom-properties" xmlns:vt="http://schemas.openxmlformats.org/officeDocument/2006/docPropsVTypes"/>
</file>