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e171d43dbd9a82af39ffc8b0f29b13aa76334a"/>
    <w:p>
      <w:pPr>
        <w:pStyle w:val="Heading1"/>
      </w:pPr>
      <w:r>
        <w:t xml:space="preserve">SwiftCash Digital Finance Private Limited — Digital Lending Policy (v1)</w:t>
      </w:r>
    </w:p>
    <w:p>
      <w:pPr>
        <w:pStyle w:val="FirstParagraph"/>
      </w:pPr>
      <w:r>
        <w:rPr>
          <w:bCs/>
          <w:b/>
        </w:rPr>
        <w:t xml:space="preserve">Document type:</w:t>
      </w:r>
      <w:r>
        <w:t xml:space="preserve"> </w:t>
      </w:r>
      <w:r>
        <w:t xml:space="preserve">Board-approved Digital Lending Policy (fictional, for Reguard AI red-teaming benchmark only)</w:t>
      </w:r>
      <w:r>
        <w:t xml:space="preserve"> </w:t>
      </w:r>
      <w:r>
        <w:rPr>
          <w:bCs/>
          <w:b/>
        </w:rPr>
        <w:t xml:space="preserve">Applicable to:</w:t>
      </w:r>
      <w:r>
        <w:t xml:space="preserve"> </w:t>
      </w:r>
      <w:r>
        <w:t xml:space="preserve">Digital Lending Apps (DLAs), Lending Service Provider (LSP) arrangements, Key Fact Statement (KFS) disclosures, and Default Loss Guarantee (DLG) arrangements, as regulated under the Reserve Bank of India (Digital Lending) Directions, 2025.</w:t>
      </w:r>
    </w:p>
    <w:p>
      <w:r>
        <w:pict>
          <v:rect style="width:0;height:1.5pt" o:hralign="center" o:hrstd="t" o:hr="t"/>
        </w:pict>
      </w:r>
    </w:p>
    <w:bookmarkStart w:id="20" w:name="default-loss-guarantee-arrangements"/>
    <w:p>
      <w:pPr>
        <w:pStyle w:val="Heading2"/>
      </w:pPr>
      <w:r>
        <w:t xml:space="preserve">7.1 Default Loss Guarantee Arrangements</w:t>
      </w:r>
    </w:p>
    <w:p>
      <w:pPr>
        <w:pStyle w:val="FirstParagraph"/>
      </w:pPr>
      <w:r>
        <w:rPr>
          <w:bCs/>
          <w:b/>
        </w:rPr>
        <w:t xml:space="preserve">Clause (FLDG/DLG — Case A):</w:t>
      </w:r>
    </w:p>
    <w:p>
      <w:pPr>
        <w:pStyle w:val="BlockText"/>
      </w:pPr>
      <w:r>
        <w:t xml:space="preserve">The Company’s DLG arrangement with its empanelled LSP provides a first-loss cover of 8% of the disbursed amount on the earmarked loan portfolio, which the Company considers appropriate given the higher risk profile of its unsecured personal loan book.</w:t>
      </w:r>
    </w:p>
    <w:p>
      <w:pPr>
        <w:pStyle w:val="FirstParagraph"/>
      </w:pPr>
      <w:r>
        <w:rPr>
          <w:bCs/>
          <w:b/>
        </w:rPr>
        <w:t xml:space="preserve">Clause (FLDG/DLG — Case B):</w:t>
      </w:r>
    </w:p>
    <w:p>
      <w:pPr>
        <w:pStyle w:val="BlockText"/>
      </w:pPr>
      <w:r>
        <w:t xml:space="preserve">The Company’s DLG arrangement with its empanelled LSP is structured so that the total DLG cover on any outstanding portfolio, specified upfront, does not exceed five per cent of the total amount disbursed out of that loan portfolio at any given time, activated proportionately as loans are disbursed.</w:t>
      </w:r>
    </w:p>
    <w:bookmarkEnd w:id="20"/>
    <w:bookmarkStart w:id="21" w:name="eligible-dlg-providers"/>
    <w:p>
      <w:pPr>
        <w:pStyle w:val="Heading2"/>
      </w:pPr>
      <w:r>
        <w:t xml:space="preserve">7.2 Eligible DLG Providers</w:t>
      </w:r>
    </w:p>
    <w:p>
      <w:pPr>
        <w:pStyle w:val="FirstParagraph"/>
      </w:pPr>
      <w:r>
        <w:rPr>
          <w:bCs/>
          <w:b/>
        </w:rPr>
        <w:t xml:space="preserve">Clause (FLDG/DLG — Case A):</w:t>
      </w:r>
    </w:p>
    <w:p>
      <w:pPr>
        <w:pStyle w:val="BlockText"/>
      </w:pPr>
      <w:r>
        <w:t xml:space="preserve">In addition to its empanelled LSPs, the Company also accepts DLG arrangements from individual co-founders and angel investors of partner fintech startups who wish to personally guarantee a portion of the loan portfolio in their individual capacity.</w:t>
      </w:r>
    </w:p>
    <w:p>
      <w:pPr>
        <w:pStyle w:val="FirstParagraph"/>
      </w:pPr>
      <w:r>
        <w:rPr>
          <w:bCs/>
          <w:b/>
        </w:rPr>
        <w:t xml:space="preserve">Clause (FLDG/DLG — Case B):</w:t>
      </w:r>
    </w:p>
    <w:p>
      <w:pPr>
        <w:pStyle w:val="BlockText"/>
      </w:pPr>
      <w:r>
        <w:t xml:space="preserve">The Company enters into DLG arrangements only with a Lending Service Provider or another regulated entity engaged as an LSP, and only where the LSP providing the DLG is incorporated as a company under the Companies Act, 2013.</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2026-09-10T09:56:07Z</dcterms:created>
  <dcterms:modified xsi:type="dcterms:W3CDTF">2026-09-10T09:56:07Z</dcterms:modified>
</cp:coreProperties>
</file>

<file path=docProps/custom.xml><?xml version="1.0" encoding="utf-8"?>
<Properties xmlns="http://schemas.openxmlformats.org/officeDocument/2006/custom-properties" xmlns:vt="http://schemas.openxmlformats.org/officeDocument/2006/docPropsVTypes"/>
</file>