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5ee54557d10da3f6be3f1e0a8f7c7cd196ce49"/>
    <w:p>
      <w:pPr>
        <w:pStyle w:val="Heading1"/>
      </w:pPr>
      <w:r>
        <w:t xml:space="preserve">TrustLend NBFC Limited — Digital Lending Policy (v1)</w:t>
      </w:r>
    </w:p>
    <w:p>
      <w:pPr>
        <w:pStyle w:val="FirstParagraph"/>
      </w:pPr>
      <w:r>
        <w:rPr>
          <w:bCs/>
          <w:b/>
        </w:rPr>
        <w:t xml:space="preserve">Document type:</w:t>
      </w:r>
      <w:r>
        <w:t xml:space="preserve"> </w:t>
      </w:r>
      <w:r>
        <w:t xml:space="preserve">Board-approved Digital Lending Policy (fictional, for Reguard AI red-teaming benchmark only)</w:t>
      </w:r>
      <w:r>
        <w:t xml:space="preserve"> </w:t>
      </w:r>
      <w:r>
        <w:rPr>
          <w:bCs/>
          <w:b/>
        </w:rPr>
        <w:t xml:space="preserve">Applicable to:</w:t>
      </w:r>
      <w:r>
        <w:t xml:space="preserve"> </w:t>
      </w:r>
      <w:r>
        <w:t xml:space="preserve">Digital Lending Apps (DLAs), Lending Service Provider (LSP) arrangements, Key Fact Statement (KFS) disclosures, and Default Loss Guarantee (DLG) arrangements, as regulated under the Reserve Bank of India (Digital Lending) Directions, 2025.</w:t>
      </w:r>
    </w:p>
    <w:p>
      <w:r>
        <w:pict>
          <v:rect style="width:0;height:1.5pt" o:hralign="center" o:hrstd="t" o:hr="t"/>
        </w:pict>
      </w:r>
    </w:p>
    <w:bookmarkStart w:id="20" w:name="penal-charges-on-default"/>
    <w:p>
      <w:pPr>
        <w:pStyle w:val="Heading2"/>
      </w:pPr>
      <w:r>
        <w:t xml:space="preserve">6.1 Penal Charges on Default</w:t>
      </w:r>
    </w:p>
    <w:p>
      <w:pPr>
        <w:pStyle w:val="FirstParagraph"/>
      </w:pPr>
      <w:r>
        <w:rPr>
          <w:bCs/>
          <w:b/>
        </w:rPr>
        <w:t xml:space="preserve">Clause (penal charges — Case A):</w:t>
      </w:r>
    </w:p>
    <w:p>
      <w:pPr>
        <w:pStyle w:val="BlockText"/>
      </w:pPr>
      <w:r>
        <w:t xml:space="preserve">Where an EMI is not honoured, the overdue instalment attracts penal interest at 3% per month over and above the contracted rate of interest, which is added to the outstanding principal for the purpose of computing interest in the subsequent billing cycle.</w:t>
      </w:r>
    </w:p>
    <w:p>
      <w:pPr>
        <w:pStyle w:val="FirstParagraph"/>
      </w:pPr>
      <w:r>
        <w:rPr>
          <w:bCs/>
          <w:b/>
        </w:rPr>
        <w:t xml:space="preserve">Clause (penal charges — Case B):</w:t>
      </w:r>
    </w:p>
    <w:p>
      <w:pPr>
        <w:pStyle w:val="BlockText"/>
      </w:pPr>
      <w:r>
        <w:t xml:space="preserve">Where a borrower fails to comply with a material term of the loan contract, the Company levies a flat penal charge, as per its Board-approved policy, that is reasonable and commensurate with the non-compliance; penal charges are never levied as</w:t>
      </w:r>
      <w:r>
        <w:t xml:space="preserve"> </w:t>
      </w:r>
      <w:r>
        <w:t xml:space="preserve">‘</w:t>
      </w:r>
      <w:r>
        <w:t xml:space="preserve">penal interest</w:t>
      </w:r>
      <w:r>
        <w:t xml:space="preserve">’</w:t>
      </w:r>
      <w:r>
        <w:t xml:space="preserve"> </w:t>
      </w:r>
      <w:r>
        <w:t xml:space="preserve">added to the rate of interest, and no further interest is computed on the penal charge itself.</w:t>
      </w:r>
    </w:p>
    <w:bookmarkEnd w:id="20"/>
    <w:bookmarkStart w:id="21" w:name="disclosure-of-penal-charges"/>
    <w:p>
      <w:pPr>
        <w:pStyle w:val="Heading2"/>
      </w:pPr>
      <w:r>
        <w:t xml:space="preserve">6.2 Disclosure of Penal Charges</w:t>
      </w:r>
    </w:p>
    <w:p>
      <w:pPr>
        <w:pStyle w:val="FirstParagraph"/>
      </w:pPr>
      <w:r>
        <w:rPr>
          <w:bCs/>
          <w:b/>
        </w:rPr>
        <w:t xml:space="preserve">Clause (penal charges — Case A):</w:t>
      </w:r>
    </w:p>
    <w:p>
      <w:pPr>
        <w:pStyle w:val="BlockText"/>
      </w:pPr>
      <w:r>
        <w:t xml:space="preserve">The quantum of penal charges applicable to a loan is available to the borrower on request from the Company’s customer-care helpline and is finalised at the Company’s discretion at the time of default based on the borrower’s overall risk profile.</w:t>
      </w:r>
    </w:p>
    <w:p>
      <w:pPr>
        <w:pStyle w:val="FirstParagraph"/>
      </w:pPr>
      <w:r>
        <w:rPr>
          <w:bCs/>
          <w:b/>
        </w:rPr>
        <w:t xml:space="preserve">Clause (penal charges — Case B):</w:t>
      </w:r>
    </w:p>
    <w:p>
      <w:pPr>
        <w:pStyle w:val="BlockText"/>
      </w:pPr>
      <w:r>
        <w:t xml:space="preserve">The quantum and reason for penal charges are disclosed upfront to the borrower in the loan agreement and the Key Fact Statement, and are also displayed on the Company’s website under Interest Rates and Service Charges; whenever a reminder for non-compliance is sent, the applicable penal charge is communicated, and each actual levy is separately communicated with reasons.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2026-09-10T09:56:07Z</dcterms:created>
  <dcterms:modified xsi:type="dcterms:W3CDTF">2026-09-10T09:56:07Z</dcterms:modified>
</cp:coreProperties>
</file>

<file path=docProps/custom.xml><?xml version="1.0" encoding="utf-8"?>
<Properties xmlns="http://schemas.openxmlformats.org/officeDocument/2006/custom-properties" xmlns:vt="http://schemas.openxmlformats.org/officeDocument/2006/docPropsVTypes"/>
</file>