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BetterCallSir Product and Engineering Specification</w:t>
      </w:r>
    </w:p>
    <w:p>
      <w:r>
        <w:t>Separate frontend and backend with a phased VPS pilot</w:t>
        <w:br/>
        <w:t>Version 3.0   •   11 October 2026   •   Owner Shubham Chandravanshi</w:t>
      </w:r>
    </w:p>
    <w:p>
      <w:pPr>
        <w:pStyle w:val="Heading1"/>
      </w:pPr>
      <w:r>
        <w:t>Purpose and decisions</w:t>
      </w:r>
    </w:p>
    <w:p>
      <w:r>
        <w:t>BetterCallSir helps parents and students find the most suitable available teacher or mentor. Relationships, learning notes and follow-up support this discovery promise. Start with Raipur school tuition, both online and at home. Build separate frontend and backend applications around a versioned API that a future mobile client can also use.</w:t>
      </w:r>
    </w:p>
    <w:p>
      <w:r>
        <w:t>This specification replaces Versions 1.0 and 2.0. It is a build contract and delivery plan, not evidence that an application exists or is production-ready. No application tests or security scans have been executed in preparing this document. Production readiness is earned by passing the release gates in Sections 14–16.</w:t>
      </w:r>
    </w:p>
    <w:tbl>
      <w:tblPr>
        <w:tblW w:type="auto" w:w="0"/>
        <w:tblLayout w:type="fixed"/>
        <w:tblLook w:firstColumn="1" w:firstRow="1" w:lastColumn="0" w:lastRow="0" w:noHBand="0" w:noVBand="1" w:val="04A0"/>
      </w:tblPr>
      <w:tblGrid>
        <w:gridCol w:w="1944"/>
        <w:gridCol w:w="7992"/>
      </w:tblGrid>
      <w:tr>
        <w:trPr>
          <w:cantSplit/>
          <w:cantSplit/>
          <w:tblHeader/>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Decision</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Adopted approach</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Launch audience</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Guardian-managed student access; Classes 6–10 Maths and Science, CBSE/CGBSE</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Discovery</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Public approved teacher profiles plus guided requests and shortlists</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Premium service</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Scheduled 20, 40 or 60 minute online revision with clear topic scope</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Revenue</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 success fee and optional paid family services; no hidden fee stacking</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Applications</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Next.js web frontend; separate NestJS API and worker; future React Native client</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Database</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PostgreSQL with Prisma; private object storage; transactional job outbox</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First deployment</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Supported Ubuntu LTS VPS with Docker Compose; isolated pilot environments</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Future hosting</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Same application containers on AWS; migrate database and media first</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AI and ML</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Provider interfaces, recommendation evidence and consent boundaries now; models later</w:t>
            </w:r>
          </w:p>
        </w:tc>
      </w:tr>
    </w:tbl>
    <w:p/>
    <w:p>
      <w:pPr>
        <w:pStyle w:val="Heading2"/>
      </w:pPr>
      <w:r>
        <w:t>What changed from the first MVP</w:t>
      </w:r>
    </w:p>
    <w:p>
      <w:r>
        <w:t>Public teacher discovery, family-paid selection options and premium revision are added. The single Next.js server design becomes two independently deployable applications. The previous three-sprint launch estimate is withdrawn in favour of seven gated phases. Role dashboards, guardian-linked student access, role onboarding, Parent Pro calling and super admin are now required; gamification and coaching-centre tools remain later work. The first VPS release occurs only at the final pilot phase; AWS is a subsequent migration.</w:t>
      </w:r>
    </w:p>
    <w:p>
      <w:r>
        <w:br w:type="page"/>
      </w:r>
    </w:p>
    <w:p>
      <w:pPr>
        <w:pStyle w:val="Heading1"/>
      </w:pPr>
      <w:r>
        <w:t>1 Product scope and commercial rules</w:t>
      </w:r>
    </w:p>
    <w:p>
      <w:pPr>
        <w:pStyle w:val="Heading2"/>
      </w:pPr>
      <w:r>
        <w:t>The pilot promise</w:t>
      </w:r>
    </w:p>
    <w:p>
      <w:r>
        <w:t>A family can explore approved profiles or describe a tuition need, receive suitable candidates, arrange a demo and confirm a recurring teacher. It can also book a scheduled expert revision session. Recommendations explain fit; they do not claim the teacher is universally best, guarantee marks or imply that screening guarantees safety.</w:t>
      </w:r>
    </w:p>
    <w:tbl>
      <w:tblPr>
        <w:tblW w:type="auto" w:w="0"/>
        <w:tblLayout w:type="fixed"/>
        <w:tblLook w:firstColumn="1" w:firstRow="1" w:lastColumn="0" w:lastRow="0" w:noHBand="0" w:noVBand="1" w:val="04A0"/>
      </w:tblPr>
      <w:tblGrid>
        <w:gridCol w:w="4968"/>
        <w:gridCol w:w="4968"/>
      </w:tblGrid>
      <w:tr>
        <w:trPr>
          <w:cantSplit/>
          <w:cantSplit/>
          <w:tblHeader/>
        </w:trPr>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Release scope</w:t>
            </w:r>
          </w:p>
        </w:tc>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Later scope</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Bilingual responsive web discovery and guardian accounts</w:t>
            </w:r>
          </w:p>
        </w:tc>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Native mobile apps and extended student collaboration</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 applications, capability checks and availability</w:t>
            </w:r>
          </w:p>
        </w:tc>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Coaching-centre accounts and staff roles</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Rule-based matching, shortlists and demos</w:t>
            </w:r>
          </w:p>
        </w:tc>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Validated ML ranking and learning diagnostics</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Recurring placement confirmation and invoicing</w:t>
            </w:r>
          </w:p>
        </w:tc>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 Pro subscriptions and expanded family plans</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Scheduled revision bookings and payment/refund records</w:t>
            </w:r>
          </w:p>
        </w:tc>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Instant tutoring after dependable supply exists</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Private parent notes and sharing with selected teacher</w:t>
            </w:r>
          </w:p>
        </w:tc>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Teacher-reviewed AI summaries and worksheet assistance</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Incident support, replacement assistance and audit</w:t>
            </w:r>
          </w:p>
        </w:tc>
        <w:tc>
          <w:tcPr>
            <w:tcW w:type="dxa" w:w="49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Optional learning commitments and non-punitive rewards</w:t>
            </w:r>
          </w:p>
        </w:tc>
      </w:tr>
    </w:tbl>
    <w:p/>
    <w:p>
      <w:pPr>
        <w:pStyle w:val="Heading2"/>
      </w:pPr>
      <w:r>
        <w:t>Fees are configurable policies</w:t>
      </w:r>
    </w:p>
    <w:p>
      <w:r>
        <w:t>Keep standard discovery, ordinary matching and safety support free for families. Pilot teacher placement fee remains 25% of agreed first monthly tuition, capped at ₹1,500, payable after independently confirmed first paid lesson and teacher acknowledgement of tuition receipt. This rate is a hypothesis, not an immutable rule. Store policy version, payer and tax-inclusive amount with the agreement.</w:t>
      </w:r>
    </w:p>
    <w:p>
      <w:r>
        <w:t>Optional assisted selection charges the guardian for a defined service: requirements call, curated options and demo coordination. Set price and fulfilment/refund conditions after interviews. Revision prices are set per expert, duration and scope; show the complete guardian price and expert payout before acceptance. Do not automatically impose a recurring-placement fee on revision sessions. Only a new recurring tuition arrangement can create a placement fee.</w:t>
      </w:r>
    </w:p>
    <w:p>
      <w:r>
        <w:t>Use hosted checkout from an approved payment provider. Do not store card details, build a student wallet or promise escrow. Parent-to-teacher recurring tuition remains direct. The collection and expert settlement model for paid revision must be approved by the provider and accountant before enabling live payments; sandbox is acceptable during development only.</w:t>
      </w:r>
    </w:p>
    <w:p>
      <w:pPr>
        <w:pStyle w:val="Heading2"/>
      </w:pPr>
      <w:r>
        <w:t>Replacement and refund defaults</w:t>
      </w:r>
    </w:p>
    <w:p>
      <w:r>
        <w:t>One ordinary rematch within 30 days of recurring start is free; its replacement teacher is fee-exempt. Within seven days, teacher withdrawal or substantiated breach waives/refunds the placement fee; unrelated guardian cancellation waives/refunds 50%. Later ordinary cancellation does not refund that fee. Revision teacher no-show or platform inability to deliver yields a full guardian refund. Guardian cancellation at least six hours before the slot yields a full refund; later cancellation or no-show follows a disclosed pilot policy approved before purchase. Provider settlement and refund status must be reconciled, not assumed.</w:t>
      </w:r>
    </w:p>
    <w:p>
      <w:r>
        <w:br w:type="page"/>
      </w:r>
    </w:p>
    <w:p>
      <w:pPr>
        <w:pStyle w:val="Heading1"/>
      </w:pPr>
      <w:r>
        <w:t>2 System boundaries and architecture decisions</w:t>
      </w:r>
    </w:p>
    <w:p>
      <w:pPr>
        <w:pStyle w:val="Heading2"/>
      </w:pPr>
      <w:r>
        <w:t>Independent applications with one source of truth</w:t>
      </w:r>
    </w:p>
    <w:p>
      <w:r>
        <w:t>A single source repository can contain separately built web, API and worker applications. Separate applications do not require separate repositories. This simplifies coordinated contract changes for one developer while preserving independent containers, deployments and tests. The frontend contains presentation and client validation; the backend owns all authorization, eligibility, prices, transitions and financial decisions.</w:t>
      </w:r>
    </w:p>
    <w:p>
      <w:r>
        <w:t>Structure: apps/web for Next.js; apps/api for NestJS; apps/worker for background consumers; packages/api-client for generated API types and clients; packages/test-fixtures for synthetic records; contracts/openapi.yaml for the API contract; infra/compose and infra/runbooks for deployment; docs/adr for architecture decisions. A later apps/mobile uses React Native with Expo where compatible.</w:t>
      </w:r>
    </w:p>
    <w:p>
      <w:pPr>
        <w:pStyle w:val="Heading2"/>
      </w:pPr>
      <w:r>
        <w:t>Server module structure</w:t>
      </w:r>
    </w:p>
    <w:p>
      <w:r>
        <w:t>Inside apps/api/src/modules, use identity, guardians, teachers, verification, catalog, requests, matching, scheduling, placements, revision, billing, notes, support, notifications, learning-records, analytics, memberships, calls and administration. Each module exposes application services and keeps its database writes inside its own ownership boundary. Controllers validate transport input; services execute use cases; domain policies implement rules; repositories and adapters implement database/provider access. Avoid an interface for every trivial function; introduce interfaces where implementations will change or tests need a boundary.</w:t>
      </w:r>
    </w:p>
    <w:p>
      <w:pPr>
        <w:pStyle w:val="Heading2"/>
      </w:pPr>
      <w:r>
        <w:t>Initial topology</w:t>
      </w:r>
    </w:p>
    <w:p>
      <w:r>
        <w:t>Browser connects through HTTPS to the web application and /api/v1 routed to the separate backend. Backend talks to PostgreSQL and private media storage. A separately restarted worker reads committed outbox jobs for notifications, scanning orchestration and reconciliation. Future ML inference is an internal dependency, never a client-controlled source of authorization or prices.</w:t>
      </w:r>
    </w:p>
    <w:tbl>
      <w:tblPr>
        <w:tblW w:type="auto" w:w="0"/>
        <w:tblLayout w:type="fixed"/>
        <w:tblLook w:firstColumn="1" w:firstRow="1" w:lastColumn="0" w:lastRow="0" w:noHBand="0" w:noVBand="1" w:val="04A0"/>
      </w:tblPr>
      <w:tblGrid>
        <w:gridCol w:w="3024"/>
        <w:gridCol w:w="6912"/>
      </w:tblGrid>
      <w:tr>
        <w:trPr>
          <w:cantSplit/>
          <w:cantSplit/>
          <w:tblHeader/>
        </w:trPr>
        <w:tc>
          <w:tcPr>
            <w:tcW w:type="dxa" w:w="302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Architecture decision</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Reason and consequence</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NestJS modular monolith [4]</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Explicit modules, dependency injection and separate API ownership; avoid premature distributed transactions</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REST and OpenAPI</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Web/mobile can share contracts and generated clients; contract changes are reviewed before code</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PostgreSQL</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Transactions and constraints support bookings and money; not one database per city</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Prisma plus explicit SQL migrations</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Normal CRUD through ORM; use SQL for exclusion constraints and specialized indexes</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Database outbox [5]</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State and notification intent commit together; consumers tolerate duplicate delivery</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External meeting and checkout providers</w:t>
            </w:r>
          </w:p>
        </w:tc>
        <w:tc>
          <w:tcPr>
            <w:tcW w:type="dxa" w:w="691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No proprietary video platform or payment vault in the pilot</w:t>
            </w:r>
          </w:p>
        </w:tc>
      </w:tr>
    </w:tbl>
    <w:p/>
    <w:p>
      <w:r>
        <w:t>Pin a maintained Node.js LTS release and patched supported PostgreSQL major at implementation kickoff [6,7]. Verify framework, ORM and container compatibility, commit lockfiles and image digests, and schedule patching. Do not use a floating “latest” image in production.</w:t>
      </w:r>
    </w:p>
    <w:p>
      <w:r>
        <w:br w:type="page"/>
      </w:r>
    </w:p>
    <w:p>
      <w:pPr>
        <w:pStyle w:val="Heading1"/>
      </w:pPr>
      <w:r>
        <w:t>3 API contract and separate frontend development</w:t>
      </w:r>
    </w:p>
    <w:p>
      <w:pPr>
        <w:pStyle w:val="Heading2"/>
      </w:pPr>
      <w:r>
        <w:t>Contract first workflow</w:t>
      </w:r>
    </w:p>
    <w:p>
      <w:r>
        <w:t>Before implementing a feature, write examples and its OpenAPI operation: input schema, response, permissions, state prerequisites, errors and idempotency. Generate the TypeScript client and a mock server from that contract. Frontend development uses mocks; backend development uses contract and integration tests. Integrate a vertical journey during each phase, rather than waiting until every screen and endpoint is finished.</w:t>
      </w:r>
    </w:p>
    <w:tbl>
      <w:tblPr>
        <w:tblW w:type="auto" w:w="0"/>
        <w:tblLayout w:type="fixed"/>
        <w:tblLook w:firstColumn="1" w:firstRow="1" w:lastColumn="0" w:lastRow="0" w:noHBand="0" w:noVBand="1" w:val="04A0"/>
      </w:tblPr>
      <w:tblGrid>
        <w:gridCol w:w="1944"/>
        <w:gridCol w:w="7992"/>
      </w:tblGrid>
      <w:tr>
        <w:trPr>
          <w:cantSplit/>
          <w:cantSplit/>
          <w:tblHeader/>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API family</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Example operations and access</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Public catalog</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GET /teachers and /teachers/{slug}; only approved public projections</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Identity</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POST /auth/otp/request, /auth/otp/verify, /auth/refresh, /auth/logout; rate limits</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requests</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POST /requests, GET /requests/{id}; verified guardian consent and ownership</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Applications</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POST /teacher-applications, POST /admin/teachers/{id}/reviews; role boundaries</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Matching</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POST /admin/requests/{id}/recommendations, POST /candidates/{id}/responses</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Demos and terms</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POST /demos, /demos/{id}/acceptances, /placements/{id}/terms/acceptances</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Revision</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GET /revision/slots, POST /revision/holds, POST /revision/bookings</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Money</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POST /checkout-orders, POST /billing/webhooks/{provider}; raw-body signature verification</w:t>
            </w:r>
          </w:p>
        </w:tc>
      </w:tr>
      <w:tr>
        <w:trPr>
          <w:cantSplit/>
          <w:cantSplit/>
        </w:trPr>
        <w:tc>
          <w:tcPr>
            <w:tcW w:type="dxa" w:w="194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Notes and support</w:t>
            </w:r>
          </w:p>
        </w:tc>
        <w:tc>
          <w:tcPr>
            <w:tcW w:type="dxa" w:w="79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POST /notes, POST /notes/{id}/shares, POST /cases; explicit object access</w:t>
            </w:r>
          </w:p>
        </w:tc>
      </w:tr>
    </w:tbl>
    <w:p/>
    <w:p>
      <w:pPr>
        <w:pStyle w:val="Heading2"/>
      </w:pPr>
      <w:r>
        <w:t>Shared request and response rules</w:t>
      </w:r>
    </w:p>
    <w:p>
      <w:r>
        <w:t>Use /api/v1, UUID identifiers, cursor pagination with a maximum of 50, stable enums, UTC ISO timestamps and explicit IANA display timezone. Money is integer paise plus INR currency. Responses use documented resource schemas; errors use code, message, fieldErrors and requestId. Use 400 validation, 401 unauthenticated, 403 forbidden, 404 inaccessible/missing, 409 state or version conflict and 429 rate limit. Never return stack traces or database errors.</w:t>
      </w:r>
    </w:p>
    <w:p>
      <w:r>
        <w:t>Mutating booking, start-confirmation, checkout and refund operations accept Idempotency-Key. Scope it to account and operation, retain the request hash and original result, and reject reuse with a different payload. State edits include expectedVersion; stale writes return 409. Network retries cannot generate extra invoices, reservations or refund instructions.</w:t>
      </w:r>
    </w:p>
    <w:p>
      <w:pPr>
        <w:pStyle w:val="Heading2"/>
      </w:pPr>
      <w:r>
        <w:t>Frontend responsibilities</w:t>
      </w:r>
    </w:p>
    <w:p>
      <w:r>
        <w:t>Next.js provides public discovery pages and authenticated guardian, teacher and operator screens. Use TypeScript, a consistent component system, React Hook Form with schema validation, and TanStack Query for API server state. Keep secrets and business rules out of the browser. Public SSR requests call the API; private page responses and private API data are never publicly cached. Forms must handle loading, empty, expired, validation, conflict and provider-failure states.</w:t>
      </w:r>
    </w:p>
    <w:p>
      <w:r>
        <w:t>Automated mocks test happy and failure paths, but mock tests cannot satisfy the release gate. The real staging API must pass the same journeys. API contract diff checks reject breaking changes to v1 unless an explicit versioning and client migration plan is approved.</w:t>
      </w:r>
    </w:p>
    <w:p>
      <w:r>
        <w:br w:type="page"/>
      </w:r>
    </w:p>
    <w:p>
      <w:pPr>
        <w:pStyle w:val="Heading1"/>
      </w:pPr>
      <w:r>
        <w:t>4 Identity privacy and future mobile clients</w:t>
      </w:r>
    </w:p>
    <w:p>
      <w:pPr>
        <w:pStyle w:val="Heading2"/>
      </w:pPr>
      <w:r>
        <w:t>One identity model across clients</w:t>
      </w:r>
    </w:p>
    <w:p>
      <w:r>
        <w:t>The backend owns accounts and session families. Authenticate with a reviewed OTP adapter and admin MFA. For web, use short-lived access credentials and a rotating opaque refresh credential in Secure HttpOnly SameSite cookies; frontend requests a session bootstrap after refresh. Protect cookie-authenticated mutations with CSRF and Origin validation. Do not store refresh credentials in browser localStorage.</w:t>
      </w:r>
    </w:p>
    <w:p>
      <w:r>
        <w:t>A future mobile client uses bearer access tokens and rotating refresh credentials in OS secure storage. Both transports validate the same session and permissions. Hash refresh credentials server-side, detect refresh replay, revoke the session family, and handle simultaneous refreshes with a defined rotation policy. Access-token lifetime starts at 10 minutes; refresh-session maximum starts at 30 days, with shorter admin sessions. Values are configurable and reviewed.</w:t>
      </w:r>
    </w:p>
    <w:p>
      <w:pPr>
        <w:pStyle w:val="Heading2"/>
      </w:pPr>
      <w:r>
        <w:t>Guardian and child boundaries</w:t>
      </w:r>
    </w:p>
    <w:p>
      <w:r>
        <w:t>Under-18 student access is guardian-created and restricted; students cannot independently register or purchase. Verify an identifiable adult and record parent/lawful-guardian relationship and purpose-specific consent before child data. OTP plus a checkbox alone does not satisfy this gate. Collect a child alias, grade and tuition need; omit child phone, public location, diagnosis, school and date of birth unless a later reviewed purpose requires them. Parent verification methods and retention require qualified review [3].</w:t>
      </w:r>
    </w:p>
    <w:p>
      <w:r>
        <w:t>Notes start PRIVATE. Sharing grants one named teacher access within an active placement and records the guardian action. No bulk visibility to all candidates. Revoking sharing stops new access, including queued summaries; disclosed content cannot be recalled from a human recipient. On replacement, old access is revoked and the guardian decides whether to share with the new teacher. Pending guardian withdrawal blocks matching, outreach and new AI processing.</w:t>
      </w:r>
    </w:p>
    <w:p>
      <w:pPr>
        <w:pStyle w:val="Heading2"/>
      </w:pPr>
      <w:r>
        <w:t>Roles and object permissions</w:t>
      </w:r>
    </w:p>
    <w:tbl>
      <w:tblPr>
        <w:tblW w:type="auto" w:w="0"/>
        <w:tblLayout w:type="fixed"/>
        <w:tblLook w:firstColumn="1" w:firstRow="1" w:lastColumn="0" w:lastRow="0" w:noHBand="0" w:noVBand="1" w:val="04A0"/>
      </w:tblPr>
      <w:tblGrid>
        <w:gridCol w:w="2160"/>
        <w:gridCol w:w="7776"/>
      </w:tblGrid>
      <w:tr>
        <w:trPr>
          <w:cantSplit/>
          <w:cantSplit/>
          <w:tblHeader/>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Role</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Allowed access</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Public visitor</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Approved catalog fields and advertised available slots only</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Own children, requests, bookings, payments and notes</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Own application, assigned anonymized opportunities, accepted bookings and explicitly shared notes</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Operator</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Assigned-region requests, scheduling and support; access justified by task</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Verification reviewer</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Private evidence and check records; no general finance powers</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Finance</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Invoices, payments, payout and refund records; no unnecessary child notes</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Administrator</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Explicit privileged actions with MFA and audited access; no browser-assigned role</w:t>
            </w:r>
          </w:p>
        </w:tc>
      </w:tr>
    </w:tbl>
    <w:p/>
    <w:p>
      <w:pPr>
        <w:pStyle w:val="Heading2"/>
      </w:pPr>
      <w:r>
        <w:t>Mobile readiness is an API property</w:t>
      </w:r>
    </w:p>
    <w:p>
      <w:r>
        <w:t>Use responsive web first. A native app is a new client, not an automatic conversion of Next.js screens. Reuse generated API clients, validation contracts and selected pure utilities; expect separate UI, navigation, storage, deep-link and push implementations. Add device-token and notification adapters later. Mobile network retries are already covered by idempotency and version conflicts.</w:t>
      </w:r>
    </w:p>
    <w:p>
      <w:r>
        <w:br w:type="page"/>
      </w:r>
    </w:p>
    <w:p>
      <w:pPr>
        <w:pStyle w:val="Heading1"/>
      </w:pPr>
      <w:r>
        <w:t>5 Core data model and invariants</w:t>
      </w:r>
    </w:p>
    <w:tbl>
      <w:tblPr>
        <w:tblW w:type="auto" w:w="0"/>
        <w:tblLayout w:type="fixed"/>
        <w:tblLook w:firstColumn="1" w:firstRow="1" w:lastColumn="0" w:lastRow="0" w:noHBand="0" w:noVBand="1" w:val="04A0"/>
      </w:tblPr>
      <w:tblGrid>
        <w:gridCol w:w="2664"/>
        <w:gridCol w:w="7272"/>
      </w:tblGrid>
      <w:tr>
        <w:trPr>
          <w:cantSplit/>
          <w:cantSplit/>
          <w:tblHeader/>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Entities</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Required relationships and constraints</w:t>
            </w:r>
          </w:p>
        </w:tc>
      </w:tr>
      <w:tr>
        <w:trPr>
          <w:cantSplit/>
          <w:cantSplit/>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Account Session Consent</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Unique normalized adult phone; server role; consent purpose/version; revoked session family</w:t>
            </w:r>
          </w:p>
        </w:tc>
      </w:tr>
      <w:tr>
        <w:trPr>
          <w:cantSplit/>
          <w:cantSplit/>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Child Request</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Child belongs to guardian; request requires valid consent and supported taxonomy</w:t>
            </w:r>
          </w:p>
        </w:tc>
      </w:tr>
      <w:tr>
        <w:trPr>
          <w:cantSplit/>
          <w:cantSplit/>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 Capability Verification</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One application owner; class/board/subject coverage; evidence references and reviewed result</w:t>
            </w:r>
          </w:p>
        </w:tc>
      </w:tr>
      <w:tr>
        <w:trPr>
          <w:cantSplit/>
          <w:cantSplit/>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PublicProfile Availability</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Allowlisted projection separate from private application; validity and timezone on availability</w:t>
            </w:r>
          </w:p>
        </w:tc>
      </w:tr>
      <w:tr>
        <w:trPr>
          <w:cantSplit/>
          <w:cantSplit/>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Recommendation Candidate</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Request, ranking version, candidate snapshots, exposure position and response; no forced assignment</w:t>
            </w:r>
          </w:p>
        </w:tc>
      </w:tr>
      <w:tr>
        <w:trPr>
          <w:cantSplit/>
          <w:cantSplit/>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Demo Terms Placement</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Acknowledged terms version, subject scope, start confirmations; one ordinary invoice per placement</w:t>
            </w:r>
          </w:p>
        </w:tc>
      </w:tr>
      <w:tr>
        <w:trPr>
          <w:cantSplit/>
          <w:cantSplit/>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RevisionHold Booking</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Expert/time range, duration, topic brief, expiry, acceptance and payment links</w:t>
            </w:r>
          </w:p>
        </w:tc>
      </w:tr>
      <w:tr>
        <w:trPr>
          <w:cantSplit/>
          <w:cantSplit/>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Invoice Payment Refund Payout</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Unique provider event/reference; integer amount; separate payment refund and payout state</w:t>
            </w:r>
          </w:p>
        </w:tc>
      </w:tr>
      <w:tr>
        <w:trPr>
          <w:cantSplit/>
          <w:cantSplit/>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Note Share SupportCase</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Owner and explicit recipients; incident evidence restricted; cases survive request closure</w:t>
            </w:r>
          </w:p>
        </w:tc>
      </w:tr>
      <w:tr>
        <w:trPr>
          <w:cantSplit/>
          <w:cantSplit/>
        </w:trPr>
        <w:tc>
          <w:tcPr>
            <w:tcW w:type="dxa" w:w="26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Outbox Audit Policy</w:t>
            </w:r>
          </w:p>
        </w:tc>
        <w:tc>
          <w:tcPr>
            <w:tcW w:type="dxa" w:w="72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Unique event ID; aggregate version; append-only history; policy snapshots</w:t>
            </w:r>
          </w:p>
        </w:tc>
      </w:tr>
    </w:tbl>
    <w:p/>
    <w:p>
      <w:pPr>
        <w:pStyle w:val="Heading2"/>
      </w:pPr>
      <w:r>
        <w:t>Availability and collision protection</w:t>
      </w:r>
    </w:p>
    <w:p>
      <w:r>
        <w:t>Use a single expert-calendar reservation model for demos, revision and recurring lesson commitments. Store UTC half-open time ranges with provider/source and status. A PostgreSQL exclusion constraint prevents overlapping active reservations per expert, including ranges with different start times. Expiry releases a hold transactionally. A unique start-time key alone cannot prevent all overlaps.</w:t>
      </w:r>
    </w:p>
    <w:p>
      <w:r>
        <w:t>Recurring availability is a declared pattern in an IANA timezone. Materialize accepted commitments over a rolling booking horizon of 60 days; extend ahead of expiry and do not sell beyond that horizon. Block individual cancellations or teacher leave through exceptions. Changes affect future unbooked slots only; accepted bookings require explicit rescheduling.</w:t>
      </w:r>
    </w:p>
    <w:p>
      <w:pPr>
        <w:pStyle w:val="Heading2"/>
      </w:pPr>
      <w:r>
        <w:t>National geography without database fragmentation</w:t>
      </w:r>
    </w:p>
    <w:p>
      <w:r>
        <w:t>Use country, state, city and locality identifiers, supported boards, subject taxonomy and language keys. Link teacher home-service areas separately from online coverage. Operators are region-scoped; a region is not a separate user tenant. Online teachers can serve permitted launch families without pretending they are nearby. Enable cities with configuration and supply checks, not duplicated code or one server per city.</w:t>
      </w:r>
    </w:p>
    <w:p>
      <w:pPr>
        <w:pStyle w:val="Heading2"/>
      </w:pPr>
      <w:r>
        <w:t>Index and migration policy</w:t>
      </w:r>
    </w:p>
    <w:p>
      <w:r>
        <w:t>Index foreign keys and queried status/date combinations, profile slug, subject-board-grade coverage, regional request queues, booking expert/time and provider event IDs. Review explain plans with realistic synthetic volumes before adding indexes. Use forward, additive migrations first; backfill safely; delay drops until old containers and clients are retired. Finance and booking constraints live in the database as well as application tests.</w:t>
      </w:r>
    </w:p>
    <w:p>
      <w:r>
        <w:br w:type="page"/>
      </w:r>
    </w:p>
    <w:p>
      <w:pPr>
        <w:pStyle w:val="Heading1"/>
      </w:pPr>
      <w:r>
        <w:t>6 Matching and AI integration design</w:t>
      </w:r>
    </w:p>
    <w:p>
      <w:pPr>
        <w:pStyle w:val="Heading2"/>
      </w:pPr>
      <w:r>
        <w:t>Rules first with a replaceable ranker</w:t>
      </w:r>
    </w:p>
    <w:p>
      <w:r>
        <w:t>Candidate generation enforces approval, active status, current capability checks, class/board/subject, language, budget, mode, capacity and schedule. Home requests also require service area and travel acceptance. The ranker orders eligible candidates; final rechecks occur before presentation and booking. A model can never override suspension, privacy or schedule rules.</w:t>
      </w:r>
    </w:p>
    <w:p>
      <w:r>
        <w:t>Define Ranker.rank(requestFeatures, eligibleCandidateFeatures, context) returning candidate IDs, scores, reason codes, rankerVersion and featureVersion. Start with transparent weighted rules and operator review. A future internal Python inference service implements the same contract. Invoke it with a bounded timeout, circuit breaker and rule-based fallback. Send approved feature fields only, never arbitrary database records.</w:t>
      </w:r>
    </w:p>
    <w:p>
      <w:pPr>
        <w:pStyle w:val="Heading2"/>
      </w:pPr>
      <w:r>
        <w:t>Collect evidence needed for evaluation</w:t>
      </w:r>
    </w:p>
    <w:p>
      <w:r>
        <w:t>RecommendationRun stores request ID, eligible pool snapshot, candidate order, policy/feature version, operator changes and actual presentations. Record teacher acceptance, guardian selection, demo outcome, confirmed placement, cancellation reason and mature day-30 continuation. Distinguish recommended candidates from those actually shown. No response is not a failed learning outcome. These records require approved purpose and access rules; pseudonymous IDs alone do not make data anonymous.</w:t>
      </w:r>
    </w:p>
    <w:p>
      <w:r>
        <w:t>Do not train on raw private notes, identity documents or sensitive child attributes by default. An approved training export uses an allowlist, retention policy, provenance and deletion handling. Once a model is trained, deletion implications must be assessed separately; deleting a database row does not automatically erase its influence from model weights.</w:t>
      </w:r>
    </w:p>
    <w:p>
      <w:pPr>
        <w:pStyle w:val="Heading2"/>
      </w:pPr>
      <w:r>
        <w:t>Model promotion path</w:t>
      </w:r>
    </w:p>
    <w:p>
      <w:r>
        <w:t>Train offline only after enough representative, legally usable evidence exists. Compare to the rules baseline using time-based validation, prevent post-outcome feature leakage and account for recommendation exposure bias. Evaluate quality by board, language, locality and new-versus-established teachers. Run shadow predictions before a limited controlled rollout; assess demo acceptance and continuation without treating them as proof of learning improvement. Maintain model registry, evaluation report, rollback version and kill switch.</w:t>
      </w:r>
    </w:p>
    <w:p>
      <w:pPr>
        <w:pStyle w:val="Heading2"/>
      </w:pPr>
      <w:r>
        <w:t>AI assistance boundaries</w:t>
      </w:r>
    </w:p>
    <w:p>
      <w:r>
        <w:t>Later AI features may draft parent-approved request summaries, teacher-reviewed recaps or worksheets. AI gateways have per-feature consent, provider adapters, model/prompt version, redaction, timeouts, usage limits, cost budgets and output checks. Treat uploaded text as untrusted data; prevent it from changing system instructions or invoking tools. No autonomous refunds, account access, public accusations or medical diagnoses. Raw child information must not reach an external model without approved purpose and provider terms.</w:t>
      </w:r>
    </w:p>
    <w:p>
      <w:r>
        <w:t>Asynchronous tasks are written to the outbox with the business transaction [5]. Envelopes contain eventId, type, schemaVersion, aggregateId/version, actor, occurredAt and correlationId. Keep sensitive payloads out; consumers load authorized current records. Dedupe by eventId, preserve per-aggregate ordering where required, retry with backoff, and move persistent failures to an operator queue.</w:t>
      </w:r>
    </w:p>
    <w:p>
      <w:r>
        <w:br w:type="page"/>
      </w:r>
    </w:p>
    <w:p>
      <w:pPr>
        <w:pStyle w:val="Heading1"/>
      </w:pPr>
      <w:r>
        <w:t>7 Revision booking and financial correctness</w:t>
      </w:r>
    </w:p>
    <w:p>
      <w:pPr>
        <w:pStyle w:val="Heading2"/>
      </w:pPr>
      <w:r>
        <w:t>Service definition</w:t>
      </w:r>
    </w:p>
    <w:p>
      <w:r>
        <w:t>20 minutes covers a narrow topic; 40 minutes covers selected related topics; 60 minutes covers a broader selected review. Guardian submits grade, board, subject, language, topic brief and optional scanned question. Expert reviews the brief and accepts scope before the slot is offered for payment. Student practice and a short expert-reviewed recap are included. No entire-syllabus or score guarantee.</w:t>
      </w:r>
    </w:p>
    <w:p>
      <w:pPr>
        <w:pStyle w:val="Heading2"/>
      </w:pPr>
      <w:r>
        <w:t>Booking and payment state</w:t>
      </w:r>
    </w:p>
    <w:p>
      <w:r>
        <w:t>AVAILABLE → HOLD → PAYMENT_PENDING → CONFIRMED → COMPLETED, CANCELLED or DISPUTED. Hold is transactionally reserved for ten minutes. Paid confirmation requires a verified captured-payment event with matching order, amount and currency. Provider callbacks can arrive after hold expiry: reacquire the reservation if still available; otherwise enter PAID_UNALLOCATED and issue a tracked full refund or offer an alternative only with guardian agreement. Never displace a later valid booking.</w:t>
      </w:r>
    </w:p>
    <w:p>
      <w:r>
        <w:t>No live checkout unless scope is accepted, teacher remains eligible and the slot is held. Expiry, duplicate callbacks, callback-before-redirect and failed redirects are tested. Completion uses service evidence and guardian feedback; missing feedback does not automatically prove non-delivery. Teacher no-show enters operator review and prevents payout until resolved. Meetings use private links and authorized participants; recordings are off by default.</w:t>
      </w:r>
    </w:p>
    <w:p>
      <w:pPr>
        <w:pStyle w:val="Heading2"/>
      </w:pPr>
      <w:r>
        <w:t>Ledger and settlement</w:t>
      </w:r>
    </w:p>
    <w:p>
      <w:r>
        <w:t>Store checkout order, captured payment, refund instructions, provider refund settlement, teacher payable and payout settlement separately. A payment success is not a teacher payout. Compute expert payable from the snapshotted policy; reduce or hold it for approved cancellations/disputes. An already settled payout followed by refund requires an explicit recovery or platform-loss decision, not an impossible negative refund.</w:t>
      </w:r>
    </w:p>
    <w:p>
      <w:r>
        <w:t>Verify provider signature against raw body, replay/event ID, environment, merchant account, amount, currency and order linkage. Reject forged callbacks; quarantine legitimate mismatches. Reconciliation periodically queries authoritative provider state for pending orders and failed refund/payout operations. Alert on age and discrepancies. Financial corrections append records; do not overwrite history.</w:t>
      </w:r>
    </w:p>
    <w:p>
      <w:pPr>
        <w:pStyle w:val="Heading2"/>
      </w:pPr>
      <w:r>
        <w:t>Acceptance examples</w:t>
      </w:r>
    </w:p>
    <w:p>
      <w:pPr>
        <w:pStyle w:val="ListBullet"/>
      </w:pPr>
      <w:r>
        <w:t>Two concurrent holds for overlapping teacher slots allow exactly one; demos and recurring reservations also block revision collisions.</w:t>
      </w:r>
    </w:p>
    <w:p>
      <w:pPr>
        <w:pStyle w:val="ListBullet"/>
      </w:pPr>
      <w:r>
        <w:t>Repeated payment events create one capture and one confirmation; a client success redirect alone creates neither.</w:t>
      </w:r>
    </w:p>
    <w:p>
      <w:pPr>
        <w:pStyle w:val="ListBullet"/>
      </w:pPr>
      <w:r>
        <w:t>Late captured payment on a lost slot produces a refund workflow; repeated reconciliation cannot issue extra refunds.</w:t>
      </w:r>
    </w:p>
    <w:p>
      <w:pPr>
        <w:pStyle w:val="ListBullet"/>
      </w:pPr>
      <w:r>
        <w:t>Refund totals never exceed captured funds; payouts cannot exceed approved payable; cancelling one session cannot alter another family’s booking.</w:t>
      </w:r>
    </w:p>
    <w:p>
      <w:pPr>
        <w:pStyle w:val="ListBullet"/>
      </w:pPr>
      <w:r>
        <w:t>Teacher suspension hides offers and raises a review for existing paid bookings. Provider outage preserves state and shows a retry/support path.</w:t>
      </w:r>
    </w:p>
    <w:p>
      <w:r>
        <w:br w:type="page"/>
      </w:r>
    </w:p>
    <w:p>
      <w:pPr>
        <w:pStyle w:val="Heading1"/>
      </w:pPr>
      <w:r>
        <w:t>8 Screens and frontend acceptance</w:t>
      </w:r>
    </w:p>
    <w:tbl>
      <w:tblPr>
        <w:tblW w:type="auto" w:w="0"/>
        <w:tblLayout w:type="fixed"/>
        <w:tblLook w:firstColumn="1" w:firstRow="1" w:lastColumn="0" w:lastRow="0" w:noHBand="0" w:noVBand="1" w:val="04A0"/>
      </w:tblPr>
      <w:tblGrid>
        <w:gridCol w:w="2376"/>
        <w:gridCol w:w="7560"/>
      </w:tblGrid>
      <w:tr>
        <w:trPr>
          <w:cantSplit/>
          <w:cantSplit/>
          <w:tblHeader/>
        </w:trPr>
        <w:tc>
          <w:tcPr>
            <w:tcW w:type="dxa" w:w="23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Screen</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Required states and actions</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Discovery and profile</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Browse/search approved teachers; explain capability labels, price basis and availability; no private fields</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onboarding</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OTP, adult verification and consent; pending verification prevents child intake</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Tuition request and shortlist</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Validated request, no-match, waitlist, candidate expiry, demo selection and fit reasons</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 workspace</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Application, verification changes, calendar, opportunity responses, bookings and invoices</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Revision checkout</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Duration/topic scope, expert acceptance, held slot countdown, transparent price and pending payment</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Booking and support</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Private meeting details, cancel/reschedule policy, recap, incident and replacement requests</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Parent notes</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Private draft, deliberate sharing, acknowledgement, revocation and old-teacher access removal</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Operator console</w:t>
            </w:r>
          </w:p>
        </w:tc>
        <w:tc>
          <w:tcPr>
            <w:tcW w:type="dxa" w:w="75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Region queues, review checks, financial exceptions, cases, audit and service backlog</w:t>
            </w:r>
          </w:p>
        </w:tc>
      </w:tr>
    </w:tbl>
    <w:p/>
    <w:p>
      <w:pPr>
        <w:pStyle w:val="Heading2"/>
      </w:pPr>
      <w:r>
        <w:t>Frontend completion criteria</w:t>
      </w:r>
    </w:p>
    <w:p>
      <w:r>
        <w:t>English and Hindi labels and notices; values are stable enums. Screens support 360 px width, accessible labels, keyboard focus, readable validation errors and touch targets. Invalid API response, network loss, 401 expiry, 403 access, 409 conflict, empty results and provider downtime all have deliberate UI states. Do not silently imply a booking succeeded while payment is pending.</w:t>
      </w:r>
    </w:p>
    <w:p>
      <w:r>
        <w:t>Use separate API query keys per account, reset private cached state on logout, and abort stale queries after account switching. Mask sensitive information in analytics and error reports. Render notes as text or sanitized allowed markup; no arbitrary HTML. Upload progress distinguishes uploaded, quarantined, approved and rejected evidence.</w:t>
      </w:r>
    </w:p>
    <w:p>
      <w:pPr>
        <w:pStyle w:val="Heading2"/>
      </w:pPr>
      <w:r>
        <w:t>Performance test profile</w:t>
      </w:r>
    </w:p>
    <w:p>
      <w:r>
        <w:t>Initial target: discovery content usable within three seconds on a recorded mid-range Android/4G test profile with a documented dataset; p95 ordinary API latency below one second excluding provider calls at 25 concurrent users. Use consistent hardware, dataset, query mix and cache conditions. Report measured percentiles and error rate, not merely a green performance tool badge. Later capacity increases require new tests.</w:t>
      </w:r>
    </w:p>
    <w:p>
      <w:pPr>
        <w:pStyle w:val="Heading2"/>
      </w:pPr>
      <w:r>
        <w:t>Guardian-linked student access</w:t>
      </w:r>
    </w:p>
    <w:p>
      <w:r>
        <w:t>The guardian purchases on behalf of the student. MVP student access uses age-appropriate permissions, safeguarding, retention and device-accounting design in Section 20. The pilot provides a limited lesson dashboard; student-private reflections and messaging remain later scope.</w:t>
      </w:r>
    </w:p>
    <w:p>
      <w:r>
        <w:br w:type="page"/>
      </w:r>
    </w:p>
    <w:p>
      <w:pPr>
        <w:pStyle w:val="Heading1"/>
      </w:pPr>
      <w:r>
        <w:t>9 User stories and acceptance contract</w:t>
      </w:r>
    </w:p>
    <w:p>
      <w:r>
        <w:t>The following stories replace the previous backlog. Every implementation ticket links to one story, its examples and security requirements. All launch P0 stories must pass against real staging services or approved production alternatives; labelled development mocks are not production completion.</w:t>
      </w:r>
    </w:p>
    <w:tbl>
      <w:tblPr>
        <w:tblW w:type="auto" w:w="0"/>
        <w:tblLayout w:type="fixed"/>
        <w:tblLook w:firstColumn="1" w:firstRow="1" w:lastColumn="0" w:lastRow="0" w:noHBand="0" w:noVBand="1" w:val="04A0"/>
      </w:tblPr>
      <w:tblGrid>
        <w:gridCol w:w="1152"/>
        <w:gridCol w:w="8784"/>
      </w:tblGrid>
      <w:tr>
        <w:trPr>
          <w:cantSplit/>
          <w:cantSplit/>
          <w:tblHeader/>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ID</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Story and minimum acceptance</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US01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authenticates; expires/rate-limits OTP; adult verification and versioned consent precede child data; cross-family reads fail</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US02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submits supported tuition need; validates budget/slots; retries return one request; unsupported scope shows waitlist</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US03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 applies and accepts fee policy; private uploads quarantine until scanned; material changes reopen review</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US04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Reviewer records capability checks; missing checks block approval; suspension removes discovery and new bookings</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US05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Visitor browses approved public profiles; private evidence/contact/child data never appear; suspended profile becomes unavailable</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US06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Operator generates eligible shortlist; every hard filter tested; teacher response and guardian choice preserve versioned evidence</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US07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Both agree a demo time/version; overlap fails; reschedule resets acceptance; no-show dispute is reviewed</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US08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Both acknowledge tuition terms and independent start; conflict blocks invoice; retries create one invoice</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US09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 pays placement invoice; signature and amount validated; partial payment/refund tracked and reconciled</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US10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books revision; expert agrees scope; concurrent holds and late payments follow Section 7; recap included</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US11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can cancel, report incident or request rematch; policy boundary tests pass; cases survive closure</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US12 P1</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captures private note and explicitly shares; withdrawal and teacher replacement revoke access</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US13 P0</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Owner requests correction/deletion; matching/outreach stop; approved retention exceptions and backup deletion replay recorded</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US14 P1</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Operator sees funnel and mature continuation cohorts; collected cash separate from invoices; denominators visible</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US15 Later</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Optional assisted-selection order has price scope and fulfilment policy; refunds follow a reviewed service contract</w:t>
            </w:r>
          </w:p>
        </w:tc>
      </w:tr>
      <w:tr>
        <w:trPr>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US16 Later</w:t>
            </w:r>
          </w:p>
        </w:tc>
        <w:tc>
          <w:tcPr>
            <w:tcW w:type="dxa" w:w="87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AI feature disabled or failed falls back safely; ranking cannot override eligibility; unauthorized feature export fails</w:t>
            </w:r>
          </w:p>
        </w:tc>
      </w:tr>
    </w:tbl>
    <w:p/>
    <w:p>
      <w:pPr>
        <w:pStyle w:val="Heading2"/>
      </w:pPr>
      <w:r>
        <w:t>Detailed stories become executable examples</w:t>
      </w:r>
    </w:p>
    <w:p>
      <w:r>
        <w:t>For every row create Given/When/Then cases including happy path, invalid input, unauthorized account, stale state, repeated request and dependency failure. Example US10: Given two guardians and one available expert interval, when they submit simultaneous overlapping holds, then one receives the hold and the other 409; payment capture from the winner alone confirms the booking. Repeat across demo-versus-revision and recurring-versus-revision collisions.</w:t>
      </w:r>
    </w:p>
    <w:p>
      <w:r>
        <w:t>An application is not considered complete because the frontend can display synthetic success cards. All authorization and state conditions are enforced and tested on the backend.</w:t>
      </w:r>
    </w:p>
    <w:p>
      <w:r>
        <w:br w:type="page"/>
      </w:r>
    </w:p>
    <w:p>
      <w:pPr>
        <w:pStyle w:val="Heading1"/>
      </w:pPr>
      <w:r>
        <w:t>10 Delivery phases and completion gates</w:t>
      </w:r>
    </w:p>
    <w:p>
      <w:r>
        <w:t>Seven phases produce the first live VPS pilot. Local containers and CI preview environments support all earlier phases. Each phase ends with tests, reviewed security evidence and a small integrated demonstration. Estimates are ranges of focused engineering effort for one developer, excluding legal/provider waiting time and founder screening operations; revise them after Phase 1.</w:t>
      </w:r>
    </w:p>
    <w:tbl>
      <w:tblPr>
        <w:tblW w:type="auto" w:w="0"/>
        <w:tblLayout w:type="fixed"/>
        <w:tblLook w:firstColumn="1" w:firstRow="1" w:lastColumn="0" w:lastRow="0" w:noHBand="0" w:noVBand="1" w:val="04A0"/>
      </w:tblPr>
      <w:tblGrid>
        <w:gridCol w:w="1368"/>
        <w:gridCol w:w="5472"/>
        <w:gridCol w:w="3096"/>
      </w:tblGrid>
      <w:tr>
        <w:trPr>
          <w:cantSplit/>
          <w:cantSplit/>
          <w:cantSplit/>
          <w:tblHeader/>
        </w:trPr>
        <w:tc>
          <w:tcPr>
            <w:tcW w:type="dxa" w:w="13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Phase</w:t>
            </w:r>
          </w:p>
        </w:tc>
        <w:tc>
          <w:tcPr>
            <w:tcW w:type="dxa" w:w="54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Deliverables</w:t>
            </w:r>
          </w:p>
        </w:tc>
        <w:tc>
          <w:tcPr>
            <w:tcW w:type="dxa" w:w="309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Gate and effort</w:t>
            </w:r>
          </w:p>
        </w:tc>
      </w:tr>
      <w:tr>
        <w:trPr>
          <w:cantSplit/>
          <w:cantSplit/>
          <w:cantSplit/>
        </w:trPr>
        <w:tc>
          <w:tcPr>
            <w:tcW w:type="dxa" w:w="13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1 Foundation</w:t>
            </w:r>
          </w:p>
        </w:tc>
        <w:tc>
          <w:tcPr>
            <w:tcW w:type="dxa" w:w="54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Threat model, modules, schema draft, OpenAPI, CI and auth/consent skeleton</w:t>
            </w:r>
          </w:p>
        </w:tc>
        <w:tc>
          <w:tcPr>
            <w:tcW w:type="dxa" w:w="309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r>
              <w:t>Contract/ownership tests; 50–80 hours</w:t>
            </w:r>
          </w:p>
        </w:tc>
      </w:tr>
      <w:tr>
        <w:trPr>
          <w:cantSplit/>
          <w:cantSplit/>
          <w:cantSplit/>
        </w:trPr>
        <w:tc>
          <w:tcPr>
            <w:tcW w:type="dxa" w:w="13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2 Backend core</w:t>
            </w:r>
          </w:p>
        </w:tc>
        <w:tc>
          <w:tcPr>
            <w:tcW w:type="dxa" w:w="54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 screening, public projection, intake, eligible matching, reservations and audit</w:t>
            </w:r>
          </w:p>
        </w:tc>
        <w:tc>
          <w:tcPr>
            <w:tcW w:type="dxa" w:w="309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r>
              <w:t>Real-DB constraints and authorization; 85–130 hours</w:t>
            </w:r>
          </w:p>
        </w:tc>
      </w:tr>
      <w:tr>
        <w:trPr>
          <w:cantSplit/>
          <w:cantSplit/>
          <w:cantSplit/>
        </w:trPr>
        <w:tc>
          <w:tcPr>
            <w:tcW w:type="dxa" w:w="13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3 Frontend</w:t>
            </w:r>
          </w:p>
        </w:tc>
        <w:tc>
          <w:tcPr>
            <w:tcW w:type="dxa" w:w="54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Independent web screens against mocks and real Phase 2 API</w:t>
            </w:r>
          </w:p>
        </w:tc>
        <w:tc>
          <w:tcPr>
            <w:tcW w:type="dxa" w:w="309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r>
              <w:t>Mobile/accessibility and integrated discovery tests; 80–130 hours</w:t>
            </w:r>
          </w:p>
        </w:tc>
      </w:tr>
      <w:tr>
        <w:trPr>
          <w:cantSplit/>
          <w:cantSplit/>
          <w:cantSplit/>
        </w:trPr>
        <w:tc>
          <w:tcPr>
            <w:tcW w:type="dxa" w:w="13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4 Transactions</w:t>
            </w:r>
          </w:p>
        </w:tc>
        <w:tc>
          <w:tcPr>
            <w:tcW w:type="dxa" w:w="54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Demos, terms, placement invoices, revision holds, checkout and reconciliation</w:t>
            </w:r>
          </w:p>
        </w:tc>
        <w:tc>
          <w:tcPr>
            <w:tcW w:type="dxa" w:w="309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r>
              <w:t>Payment replay, concurrency and provider sandbox; 105–165 hours</w:t>
            </w:r>
          </w:p>
        </w:tc>
      </w:tr>
      <w:tr>
        <w:trPr>
          <w:cantSplit/>
          <w:cantSplit/>
          <w:cantSplit/>
        </w:trPr>
        <w:tc>
          <w:tcPr>
            <w:tcW w:type="dxa" w:w="13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5 Service operations</w:t>
            </w:r>
          </w:p>
        </w:tc>
        <w:tc>
          <w:tcPr>
            <w:tcW w:type="dxa" w:w="54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Notes, cases, rematches, follow-ups, deletion, outbox and reports</w:t>
            </w:r>
          </w:p>
        </w:tc>
        <w:tc>
          <w:tcPr>
            <w:tcW w:type="dxa" w:w="309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r>
              <w:t>Privacy/retry tests and operator drills; 50–85 hours</w:t>
            </w:r>
          </w:p>
        </w:tc>
      </w:tr>
      <w:tr>
        <w:trPr>
          <w:cantSplit/>
          <w:cantSplit/>
          <w:cantSplit/>
        </w:trPr>
        <w:tc>
          <w:tcPr>
            <w:tcW w:type="dxa" w:w="13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6 Release qualification</w:t>
            </w:r>
          </w:p>
        </w:tc>
        <w:tc>
          <w:tcPr>
            <w:tcW w:type="dxa" w:w="54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Security scans, manual adversarial review, load, backup restore, migrations and rollback</w:t>
            </w:r>
          </w:p>
        </w:tc>
        <w:tc>
          <w:tcPr>
            <w:tcW w:type="dxa" w:w="309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r>
              <w:t>All release gates; 50–90 hours</w:t>
            </w:r>
          </w:p>
        </w:tc>
      </w:tr>
      <w:tr>
        <w:trPr>
          <w:cantSplit/>
          <w:cantSplit/>
          <w:cantSplit/>
        </w:trPr>
        <w:tc>
          <w:tcPr>
            <w:tcW w:type="dxa" w:w="13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7 VPS pilot</w:t>
            </w:r>
          </w:p>
        </w:tc>
        <w:tc>
          <w:tcPr>
            <w:tcW w:type="dxa" w:w="54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Provision supported host, rehearse with synthetic data, release immutable images and verify</w:t>
            </w:r>
          </w:p>
        </w:tc>
        <w:tc>
          <w:tcPr>
            <w:tcW w:type="dxa" w:w="309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r>
              <w:t>Deployment gate and smoke/restore evidence; 20–40 hours</w:t>
            </w:r>
          </w:p>
        </w:tc>
      </w:tr>
    </w:tbl>
    <w:p/>
    <w:p>
      <w:r>
        <w:t>Total planning range is 440–720 engineering hours. At 25 focused hours/week this is roughly 18–29 weeks, not a guaranteed calendar delivery. Reduce launch scope explicitly if time is insufficient; do not remove authorization, booking correctness, refund or backup checks to meet a date.</w:t>
      </w:r>
    </w:p>
    <w:p>
      <w:pPr>
        <w:pStyle w:val="Heading2"/>
      </w:pPr>
      <w:r>
        <w:t>Follow-on phases</w:t>
      </w:r>
    </w:p>
    <w:p>
      <w:r>
        <w:t>Phase 8 moves the same containers and API to AWS when reliability, support time or measured resource needs justify it. Phase 9 adds native mobile and separately promotes reviewed AI/ML features. These are not prerequisites for testing demand in Raipur. National geography exists in the schema now; national operations and high availability are earned separately.</w:t>
      </w:r>
    </w:p>
    <w:p>
      <w:pPr>
        <w:pStyle w:val="Heading2"/>
      </w:pPr>
      <w:r>
        <w:t>Release and scope control</w:t>
      </w:r>
    </w:p>
    <w:p>
      <w:r>
        <w:t>Phase 7 opens only after all P0 stories pass, provider settlement and guardian verification are approved, teacher supply is ready, refund/support policies are published and named operators can run the queues. Public profile discovery and scheduled revision are included; instant tutoring, Teacher Pro subscriptions and gamification remain deferred; Parent Pro calling is required. Record deferred work and do not present it as an existing product capability.</w:t>
      </w:r>
    </w:p>
    <w:p>
      <w:r>
        <w:br w:type="page"/>
      </w:r>
    </w:p>
    <w:p>
      <w:pPr>
        <w:pStyle w:val="Heading1"/>
      </w:pPr>
      <w:r>
        <w:t>11 First development sprint</w:t>
      </w:r>
    </w:p>
    <w:p>
      <w:r>
        <w:t>Sprint 1 is ten working days at five focused hours/day. Plan 40 hours and reserve ten for review and fixes. This replaces Version 1.0’s overly broad first-sprint shortlist goal. Deliver the foundation, API contract and one authenticated guardian path; teacher matching follows in Phase 2.</w:t>
      </w:r>
    </w:p>
    <w:tbl>
      <w:tblPr>
        <w:tblW w:type="auto" w:w="0"/>
        <w:tblLayout w:type="fixed"/>
        <w:tblLook w:firstColumn="1" w:firstRow="1" w:lastColumn="0" w:lastRow="0" w:noHBand="0" w:noVBand="1" w:val="04A0"/>
      </w:tblPr>
      <w:tblGrid>
        <w:gridCol w:w="1152"/>
        <w:gridCol w:w="7776"/>
        <w:gridCol w:w="1008"/>
      </w:tblGrid>
      <w:tr>
        <w:trPr>
          <w:cantSplit/>
          <w:cantSplit/>
          <w:cantSplit/>
          <w:tblHeader/>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Ticket</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Deliverable</w:t>
            </w:r>
          </w:p>
        </w:tc>
        <w:tc>
          <w:tcPr>
            <w:tcW w:type="dxa" w:w="10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Hours</w:t>
            </w:r>
          </w:p>
        </w:tc>
      </w:tr>
      <w:tr>
        <w:trPr>
          <w:cantSplit/>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S1 01</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Workspace with separate web/API/worker builds, pinned runtime and synthetic fixtures</w:t>
            </w:r>
          </w:p>
        </w:tc>
        <w:tc>
          <w:tcPr>
            <w:tcW w:type="dxa" w:w="10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4</w:t>
            </w:r>
          </w:p>
        </w:tc>
      </w:tr>
      <w:tr>
        <w:trPr>
          <w:cantSplit/>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S1 02</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Threat model, role matrix, module ownership and architecture decisions</w:t>
            </w:r>
          </w:p>
        </w:tc>
        <w:tc>
          <w:tcPr>
            <w:tcW w:type="dxa" w:w="10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4</w:t>
            </w:r>
          </w:p>
        </w:tc>
      </w:tr>
      <w:tr>
        <w:trPr>
          <w:cantSplit/>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S1 03</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OpenAPI discovery/intake/auth schemas, generated client and mock server</w:t>
            </w:r>
          </w:p>
        </w:tc>
        <w:tc>
          <w:tcPr>
            <w:tcW w:type="dxa" w:w="10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5</w:t>
            </w:r>
          </w:p>
        </w:tc>
      </w:tr>
      <w:tr>
        <w:trPr>
          <w:cantSplit/>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S1 04</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PostgreSQL migrations, account/session/consent/request models and test DB</w:t>
            </w:r>
          </w:p>
        </w:tc>
        <w:tc>
          <w:tcPr>
            <w:tcW w:type="dxa" w:w="10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5</w:t>
            </w:r>
          </w:p>
        </w:tc>
      </w:tr>
      <w:tr>
        <w:trPr>
          <w:cantSplit/>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S1 05</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OTP adapter, session rotation, admin MFA integration boundary and consent enforcement</w:t>
            </w:r>
          </w:p>
        </w:tc>
        <w:tc>
          <w:tcPr>
            <w:tcW w:type="dxa" w:w="10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7</w:t>
            </w:r>
          </w:p>
        </w:tc>
      </w:tr>
      <w:tr>
        <w:trPr>
          <w:cantSplit/>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S1 06</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intake endpoint and minimal separate frontend against mocks/real API</w:t>
            </w:r>
          </w:p>
        </w:tc>
        <w:tc>
          <w:tcPr>
            <w:tcW w:type="dxa" w:w="10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5</w:t>
            </w:r>
          </w:p>
        </w:tc>
      </w:tr>
      <w:tr>
        <w:trPr>
          <w:cantSplit/>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S1 07</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CI unit/DB/contract tests plus secrets and dependency scan configuration</w:t>
            </w:r>
          </w:p>
        </w:tc>
        <w:tc>
          <w:tcPr>
            <w:tcW w:type="dxa" w:w="10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6</w:t>
            </w:r>
          </w:p>
        </w:tc>
      </w:tr>
      <w:tr>
        <w:trPr>
          <w:cantSplit/>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S1 08</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Integrated demo, ownership/withdrawal tests and reviewed evidence</w:t>
            </w:r>
          </w:p>
        </w:tc>
        <w:tc>
          <w:tcPr>
            <w:tcW w:type="dxa" w:w="10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4</w:t>
            </w:r>
          </w:p>
        </w:tc>
      </w:tr>
      <w:tr>
        <w:trPr>
          <w:cantSplit/>
          <w:cantSplit/>
          <w:cantSplit/>
        </w:trPr>
        <w:tc>
          <w:tcPr>
            <w:tcW w:type="dxa" w:w="11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Reserve</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Provider integration, review and defect fixes</w:t>
            </w:r>
          </w:p>
        </w:tc>
        <w:tc>
          <w:tcPr>
            <w:tcW w:type="dxa" w:w="100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10</w:t>
            </w:r>
          </w:p>
        </w:tc>
      </w:tr>
    </w:tbl>
    <w:p/>
    <w:p>
      <w:pPr>
        <w:pStyle w:val="Heading2"/>
      </w:pPr>
      <w:r>
        <w:t>Execution sequence</w:t>
      </w:r>
    </w:p>
    <w:p>
      <w:r>
        <w:t>Days 1–2: module boundaries, threat model, contracts and build setup. Days 3–4: migrations and red/green identity tests. Days 5–6: session and consent implementation plus failure paths. Days 7–8: separate frontend intake, mock contract and real API integration. Days 9–10: ownership, refresh replay and withdrawal tests, CI report and demonstration.</w:t>
      </w:r>
    </w:p>
    <w:p>
      <w:pPr>
        <w:pStyle w:val="Heading2"/>
      </w:pPr>
      <w:r>
        <w:t>Definition of done</w:t>
      </w:r>
    </w:p>
    <w:p>
      <w:r>
        <w:t>Web and API build independently. OpenAPI validates and generated clients compile. Guardian A submits a request after approved verification and consent; guardian B cannot read it; withdrawal blocks another child-data write. Expired OTP and revoked sessions fail. CI captures exact commit, unit/integration/contract results and scan reports. No production keys or real child records. Any provider stub is clearly labelled and live integration remains an open ticket.</w:t>
      </w:r>
    </w:p>
    <w:p>
      <w:pPr>
        <w:pStyle w:val="Heading2"/>
      </w:pPr>
      <w:r>
        <w:t>Ready before starting</w:t>
      </w:r>
    </w:p>
    <w:p>
      <w:r>
        <w:t>Choose repositories/CI location, define supported enums, approve minimum data collection and policies, and identify OTP/MFA verification providers. Use sandbox credentials supplied through secrets management. If these remain unknown, contracts and adapters can proceed, but production authentication and consent stories cannot be marked complete. Architecture tests block frontend imports from backend repositories and unauthorized cross-module database writes.</w:t>
      </w:r>
    </w:p>
    <w:p>
      <w:r>
        <w:br w:type="page"/>
      </w:r>
    </w:p>
    <w:p>
      <w:pPr>
        <w:pStyle w:val="Heading1"/>
      </w:pPr>
      <w:r>
        <w:t>12 Test driven engineering approach</w:t>
      </w:r>
    </w:p>
    <w:p>
      <w:pPr>
        <w:pStyle w:val="Heading2"/>
      </w:pPr>
      <w:r>
        <w:t>Red green refactor around business risks</w:t>
      </w:r>
    </w:p>
    <w:p>
      <w:r>
        <w:t>Write a failing rule or acceptance example, implement the smallest behaviour, then refactor with tests passing. Start with authorization, state transitions, fee calculations and reservations; avoid tests that merely repeat a component’s implementation. Tests are deterministic and use synthetic data. Time-sensitive rules receive an injected clock; provider calls use controlled adapters plus separate sandbox contract checks.</w:t>
      </w:r>
    </w:p>
    <w:tbl>
      <w:tblPr>
        <w:tblW w:type="auto" w:w="0"/>
        <w:tblLayout w:type="fixed"/>
        <w:tblLook w:firstColumn="1" w:firstRow="1" w:lastColumn="0" w:lastRow="0" w:noHBand="0" w:noVBand="1" w:val="04A0"/>
      </w:tblPr>
      <w:tblGrid>
        <w:gridCol w:w="2160"/>
        <w:gridCol w:w="7776"/>
      </w:tblGrid>
      <w:tr>
        <w:trPr>
          <w:cantSplit/>
          <w:cantSplit/>
          <w:tblHeader/>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Layer</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Required test coverage</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Domain unit</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Eligibility, fees/caps, policy boundaries, cancellation, transitions, token expiry and permission rules</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Database integration</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Real PostgreSQL: exclusion constraints, transactions, invoice uniqueness, migrations, outbox locking and concurrency</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API security</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Every protected operation tested for unauthenticated, wrong role, wrong owner, stale version and revoked consent</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Contract</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OpenAPI schema examples, generated client validation and breaking-change detection</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Frontend component</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Validation, empty/loading/errors, keyboard interaction, logout cache clearing and pending money states</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End to end</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Discovery → request → review → demo → placement → invoice; revision → capture → session → refund</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Failure and recovery</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Duplicate/out-of-order webhooks, worker crash, provider timeout, hold expiry and database restoration</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Load and security</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Recorded load profile, authenticated dynamic scan and manual business-logic probes</w:t>
            </w:r>
          </w:p>
        </w:tc>
      </w:tr>
    </w:tbl>
    <w:p/>
    <w:p>
      <w:pPr>
        <w:pStyle w:val="Heading2"/>
      </w:pPr>
      <w:r>
        <w:t>Coverage and release criteria</w:t>
      </w:r>
    </w:p>
    <w:p>
      <w:r>
        <w:t>Target at least 90% branch coverage in critical domain policy modules and 80% backend overall as supporting signals; generated code excluded and exclusions reviewed. Every financial invariant and protected operation needs explicit tests regardless of coverage percentage. Require complete P0 acceptance paths, no unresolved flaky release tests and no skipped critical tests. Coverage cannot prove security or correctness.</w:t>
      </w:r>
    </w:p>
    <w:p>
      <w:pPr>
        <w:pStyle w:val="Heading2"/>
      </w:pPr>
      <w:r>
        <w:t>Continuous integration</w:t>
      </w:r>
    </w:p>
    <w:p>
      <w:r>
        <w:t>On each pull request run formatting/lint, TypeScript checks, contract validation/diff, unit tests, PostgreSQL integration tests, migrations from previous schema, frontend tests and secret/dependency scans. On release candidate run complete end-to-end, container/IaC scan, software bill of materials, authenticated dynamic scan, load and recovery tests. Test the exact immutable images that will deploy; attach artifacts to the commit and image digest.</w:t>
      </w:r>
    </w:p>
    <w:p>
      <w:r>
        <w:t>Mutation testing can be applied periodically to fee, eligibility and state rules to reveal weak tests. Keep one compact reliable end-to-end suite rather than duplicating every unit case in a slow browser suite. Failed jobs do not become green by disabling the check; resolve them or record a narrowly justified non-critical exception.</w:t>
      </w:r>
    </w:p>
    <w:p>
      <w:r>
        <w:br w:type="page"/>
      </w:r>
    </w:p>
    <w:p>
      <w:pPr>
        <w:pStyle w:val="Heading1"/>
      </w:pPr>
      <w:r>
        <w:t>13 Security verification system</w:t>
      </w:r>
    </w:p>
    <w:p>
      <w:pPr>
        <w:pStyle w:val="Heading2"/>
      </w:pPr>
      <w:r>
        <w:t>Use a tracked control register</w:t>
      </w:r>
    </w:p>
    <w:p>
      <w:r>
        <w:t>Create a SECURITY_CONTROLS register aligned to applicable OWASP ASVS 5.0 Level 2 requirements [8]. Each entry includes versioned requirement ID, applicability, owner, implementation location, automated/manual evidence, last test date and status. Verify exact IDs from the official standard rather than inventing a compliance label. A checklist is not ASVS certification.</w:t>
      </w:r>
    </w:p>
    <w:tbl>
      <w:tblPr>
        <w:tblW w:type="auto" w:w="0"/>
        <w:tblLayout w:type="fixed"/>
        <w:tblLook w:firstColumn="1" w:firstRow="1" w:lastColumn="0" w:lastRow="0" w:noHBand="0" w:noVBand="1" w:val="04A0"/>
      </w:tblPr>
      <w:tblGrid>
        <w:gridCol w:w="2160"/>
        <w:gridCol w:w="7776"/>
      </w:tblGrid>
      <w:tr>
        <w:trPr>
          <w:cantSplit/>
          <w:cantSplit/>
          <w:tblHeader/>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Control area</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Verification evidence</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Authentication</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OTP abuse/expiry tests, MFA on admin, refresh replay and logout revocation; reviewed session design</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Authorization</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Endpoint role/ownership matrix; nested IDs, exports, media URLs and region-scoped operator probes</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Input and browser</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Schema allowlists, mass-assignment tests, CSRF/Origin, XSS handling, precise CORS and CSP review</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Files</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Size/type/content checks, malware quarantine, private objects, short-lived downloads and ownership</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Payments and booking</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Raw-body signed callbacks, amount validation, concurrency/replay and refund/payout limits</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Privacy</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Consent before child data, note sharing/revocation, approved exports and deletion/backup replay</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Supply chain</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Lockfile/dependency review, secrets scan, container vulnerabilities, SBOM and image digest</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Host and operations</w:t>
            </w:r>
          </w:p>
        </w:tc>
        <w:tc>
          <w:tcPr>
            <w:tcW w:type="dxa" w:w="777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Supported OS, patching, firewall, least privilege, off-host backups and restore evidence</w:t>
            </w:r>
          </w:p>
        </w:tc>
      </w:tr>
    </w:tbl>
    <w:p/>
    <w:p>
      <w:pPr>
        <w:pStyle w:val="Heading2"/>
      </w:pPr>
      <w:r>
        <w:t>Recommended checks to implement</w:t>
      </w:r>
    </w:p>
    <w:p>
      <w:r>
        <w:t>Define repository tasks for typecheck, test:unit, test:integration, test:contract, test:e2e, security:secrets, security:sast, security:dependencies, security:containers, security:dast and release:verify. Suitable starting tools are Gitleaks, Semgrep, dependency audit, Trivy and OWASP ZAP; pin maintained versions at kickoff. These tasks are specifications to build, not scripts already delivered or run.</w:t>
      </w:r>
    </w:p>
    <w:p>
      <w:pPr>
        <w:pStyle w:val="Heading2"/>
      </w:pPr>
      <w:r>
        <w:t>Security gates fail closed</w:t>
      </w:r>
    </w:p>
    <w:p>
      <w:r>
        <w:t>Block releases for exposed secrets, exploitable critical/high findings in runtime paths, failed ownership tests, invalid money invariants, public private-media access, missing MFA for privileged roles or failed backup restore. Review scanner findings for applicability without assuming scanners find everything. Medium findings require owner, mitigation and due date; false-positive/non-applicable records require evidence. Never waive an authorization or financial-integrity failure.</w:t>
      </w:r>
    </w:p>
    <w:p>
      <w:r>
        <w:t>Run authenticated dynamic scans only against an isolated environment with synthetic accounts and sandbox payment adapters. Destructive tests do not run against paying users. Before public release, perform manual horizontal/vertical access, refund manipulation, upload and session review; use an independent reviewer where possible. Deploy gate consumes signed-off evidence for the same commit/image, rather than a stale report from another build.</w:t>
      </w:r>
    </w:p>
    <w:p>
      <w:r>
        <w:br w:type="page"/>
      </w:r>
    </w:p>
    <w:p>
      <w:pPr>
        <w:pStyle w:val="Heading1"/>
      </w:pPr>
      <w:r>
        <w:t>14 VPS deployment and economic operation</w:t>
      </w:r>
    </w:p>
    <w:p>
      <w:pPr>
        <w:pStyle w:val="Heading2"/>
      </w:pPr>
      <w:r>
        <w:t>First host design</w:t>
      </w:r>
    </w:p>
    <w:p>
      <w:r>
        <w:t>Start with a supported Ubuntu LTS host and Docker Compose containing reverse proxy, web, API, worker and PostgreSQL on private networks. An initial planning envelope is 2–4 vCPU and 4–8 GB RAM, sized by Phase 6 tests. This is a capacity hypothesis, not a validated minimum or provider quote. Avoid GPU workloads and heavyweight analytics on the pilot VPS.</w:t>
      </w:r>
    </w:p>
    <w:p>
      <w:r>
        <w:t>Use private external object storage for evidence and off-host encrypted backups. The database and job data use persistent volumes. Application containers are replaceable. Budget separately for VPS, storage, backups, OTP messages, payment fees, domain, monitoring and optional email; API/AI usage caps default to zero for unlaunched features. Compare renewal cost as well as advertised introductory hosting cost.</w:t>
      </w:r>
    </w:p>
    <w:p>
      <w:pPr>
        <w:pStyle w:val="Heading2"/>
      </w:pPr>
      <w:r>
        <w:t>Host hardening and deployments</w:t>
      </w:r>
    </w:p>
    <w:p>
      <w:r>
        <w:t>Expose 80/443 and restrict SSH to approved administration access; no public PostgreSQL or internal worker ports. Use key-based SSH, a non-root deploy identity, minimal privileges and supported OS patches. Do not disable certificate validation or install unreviewed scripts. Secrets stay outside the repository and container image with restrictive access. Avoid giving app processes access to the Docker socket.</w:t>
      </w:r>
    </w:p>
    <w:p>
      <w:r>
        <w:t>Reverse proxy terminates HTTPS, sets security headers and routes /api/v1 to the backend. Use exact allowed browser origins; CORS is not authorization. Run containers as non-root where supported, limit resources, define health checks and restart policies, and keep media outside public web directories. /health/live checks process liveness; /health/ready checks required dependencies without returning secrets.</w:t>
      </w:r>
    </w:p>
    <w:p>
      <w:pPr>
        <w:pStyle w:val="Heading2"/>
      </w:pPr>
      <w:r>
        <w:t>Release runbook</w:t>
      </w:r>
    </w:p>
    <w:p>
      <w:r>
        <w:t>1 Verify release evidence and current backup. 2 Pull immutable images. 3 Apply compatible migration once. 4 Start updated services with readiness checks. 5 Run synthetic smoke tests against discovery, login, authorized request and sandbox booking. 6 Observe errors and provider reconciliation. 7 Enable a small live cohort only after sign-off. Record operator, time, commit, images and migration version.</w:t>
      </w:r>
    </w:p>
    <w:p>
      <w:r>
        <w:t>Keep prior images and a compatible schema for application rollback. Irreversible migrations require a tested forward repair or maintenance plan; blindly restoring the database can erase valid orders. Stop checkout before any recovery that risks financial inconsistency, reconcile provider events after restoration and replay privacy deletion markers. A single VPS can have a brief maintenance window and remains a single point of failure; it is not highly available.</w:t>
      </w:r>
    </w:p>
    <w:p>
      <w:r>
        <w:br w:type="page"/>
      </w:r>
    </w:p>
    <w:p>
      <w:pPr>
        <w:pStyle w:val="Heading1"/>
      </w:pPr>
      <w:r>
        <w:t>15 Operational readiness and release evidence</w:t>
      </w:r>
    </w:p>
    <w:p>
      <w:pPr>
        <w:pStyle w:val="Heading2"/>
      </w:pPr>
      <w:r>
        <w:t>Backup and recovery targets</w:t>
      </w:r>
    </w:p>
    <w:p>
      <w:r>
        <w:t>Target 24-hour recovery point and four-hour restoration time for the limited pilot. Run daily encrypted off-host database backups; retain an approved 30-day rolling backup cycle and test restoration before release and monthly. Verify media restoration/access and schema version. Reconcile payment events since the backup so lost database updates do not become untracked charges. Larger payment volumes should trigger point-in-time recovery and managed database review.</w:t>
      </w:r>
    </w:p>
    <w:p>
      <w:pPr>
        <w:pStyle w:val="Heading2"/>
      </w:pPr>
      <w:r>
        <w:t>Monitoring and incidents</w:t>
      </w:r>
    </w:p>
    <w:p>
      <w:r>
        <w:t>Record structured request IDs and redacted errors. Track API p95, error rates, memory/disk, database saturation, worker lag, failed scans, overdue reconciliations, expired holds and failed refunds. External uptime checks detect total VPS loss. Configure alerts to a named owner and test one alert; documentation alone does not demonstrate monitoring. Publish support hours and emergency limitations.</w:t>
      </w:r>
    </w:p>
    <w:p>
      <w:r>
        <w:t>Incident runbook: contain access, suspend affected feature or checkout, preserve restricted evidence, identify scope, reconcile money, communicate appropriately, recover, and document corrective action. Privacy notifications follow applicable reviewed requirements. Do not place raw child data, OTPs or identity images in error-reporting services.</w:t>
      </w:r>
    </w:p>
    <w:tbl>
      <w:tblPr>
        <w:tblW w:type="auto" w:w="0"/>
        <w:tblLayout w:type="fixed"/>
        <w:tblLook w:firstColumn="1" w:firstRow="1" w:lastColumn="0" w:lastRow="0" w:noHBand="0" w:noVBand="1" w:val="04A0"/>
      </w:tblPr>
      <w:tblGrid>
        <w:gridCol w:w="1800"/>
        <w:gridCol w:w="8136"/>
      </w:tblGrid>
      <w:tr>
        <w:trPr>
          <w:cantSplit/>
          <w:cantSplit/>
          <w:tblHeader/>
        </w:trPr>
        <w:tc>
          <w:tcPr>
            <w:tcW w:type="dxa" w:w="180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Release gate</w:t>
            </w:r>
          </w:p>
        </w:tc>
        <w:tc>
          <w:tcPr>
            <w:tcW w:type="dxa" w:w="813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Required evidence</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Product</w:t>
            </w:r>
          </w:p>
        </w:tc>
        <w:tc>
          <w:tcPr>
            <w:tcW w:type="dxa" w:w="813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All P0 stories passed; approved scope and fee/refund policies; teachers available</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Contracts</w:t>
            </w:r>
          </w:p>
        </w:tc>
        <w:tc>
          <w:tcPr>
            <w:tcW w:type="dxa" w:w="813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OpenAPI version and generated client match; web and API images tested together</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Security</w:t>
            </w:r>
          </w:p>
        </w:tc>
        <w:tc>
          <w:tcPr>
            <w:tcW w:type="dxa" w:w="813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Control register reviewed; no blocking findings or secret leaks; manual access tests passed</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Transactions</w:t>
            </w:r>
          </w:p>
        </w:tc>
        <w:tc>
          <w:tcPr>
            <w:tcW w:type="dxa" w:w="813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Concurrent reservations, replay, late capture, cancellation, refund and payout reconciliation passed</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Privacy</w:t>
            </w:r>
          </w:p>
        </w:tc>
        <w:tc>
          <w:tcPr>
            <w:tcW w:type="dxa" w:w="813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verification, consent and deletion rules approved; private access tests passed</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Operations</w:t>
            </w:r>
          </w:p>
        </w:tc>
        <w:tc>
          <w:tcPr>
            <w:tcW w:type="dxa" w:w="813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Named owner, support/incident drill, actual alert and failed-job queue demonstrated</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Recovery</w:t>
            </w:r>
          </w:p>
        </w:tc>
        <w:tc>
          <w:tcPr>
            <w:tcW w:type="dxa" w:w="813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Off-host backup restored successfully; payment and deletion replay rehearsed</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Deployment</w:t>
            </w:r>
          </w:p>
        </w:tc>
        <w:tc>
          <w:tcPr>
            <w:tcW w:type="dxa" w:w="813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Immutable images, compatible migration, rollback drill and post-deploy smoke results</w:t>
            </w:r>
          </w:p>
        </w:tc>
      </w:tr>
    </w:tbl>
    <w:p/>
    <w:p>
      <w:pPr>
        <w:pStyle w:val="Heading2"/>
      </w:pPr>
      <w:r>
        <w:t>Release evidence artifact</w:t>
      </w:r>
    </w:p>
    <w:p>
      <w:r>
        <w:t>The CI pipeline creates a release report with commit, image digests, contract version, migration ID, test counts, failed/skipped tests, coverage, scanner reports, manual review links, load profile, restore timestamps, residual issues and approver. Release:verify exits nonzero if any mandatory evidence is absent or failed. Human review verifies applicability and operational readiness; automation cannot certify the service safe.</w:t>
      </w:r>
    </w:p>
    <w:p>
      <w:r>
        <w:br w:type="page"/>
      </w:r>
    </w:p>
    <w:p>
      <w:pPr>
        <w:pStyle w:val="Heading1"/>
      </w:pPr>
      <w:r>
        <w:t>16 AWS migration and scaling triggers</w:t>
      </w:r>
    </w:p>
    <w:p>
      <w:pPr>
        <w:pStyle w:val="Heading2"/>
      </w:pPr>
      <w:r>
        <w:t>Migrate for demonstrated needs</w:t>
      </w:r>
    </w:p>
    <w:p>
      <w:r>
        <w:t>Review migration when sustained peak CPU exceeds roughly 70%, memory pressure or disk capacity threatens targets, p95 latency repeatedly misses the load-tested target, backup/patch support becomes burdensome, or business uptime needs exceed one-host recovery. Investigate inefficient queries and workload first. These thresholds trigger review, not automatic migration or a promise of national capacity.</w:t>
      </w:r>
    </w:p>
    <w:tbl>
      <w:tblPr>
        <w:tblW w:type="auto" w:w="0"/>
        <w:tblLayout w:type="fixed"/>
        <w:tblLook w:firstColumn="1" w:firstRow="1" w:lastColumn="0" w:lastRow="0" w:noHBand="0" w:noVBand="1" w:val="04A0"/>
      </w:tblPr>
      <w:tblGrid>
        <w:gridCol w:w="2952"/>
        <w:gridCol w:w="6984"/>
      </w:tblGrid>
      <w:tr>
        <w:trPr>
          <w:cantSplit/>
          <w:cantSplit/>
          <w:tblHeader/>
        </w:trPr>
        <w:tc>
          <w:tcPr>
            <w:tcW w:type="dxa" w:w="29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Pilot component</w:t>
            </w:r>
          </w:p>
        </w:tc>
        <w:tc>
          <w:tcPr>
            <w:tcW w:type="dxa" w:w="69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Initial AWS equivalent</w:t>
            </w:r>
          </w:p>
        </w:tc>
      </w:tr>
      <w:tr>
        <w:trPr>
          <w:cantSplit/>
          <w:cantSplit/>
        </w:trPr>
        <w:tc>
          <w:tcPr>
            <w:tcW w:type="dxa" w:w="29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Compose web/API/worker</w:t>
            </w:r>
          </w:p>
        </w:tc>
        <w:tc>
          <w:tcPr>
            <w:tcW w:type="dxa" w:w="69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Same containers on EC2 initially; ECS with load balancing when multiple instances are justified</w:t>
            </w:r>
          </w:p>
        </w:tc>
      </w:tr>
      <w:tr>
        <w:trPr>
          <w:cantSplit/>
          <w:cantSplit/>
        </w:trPr>
        <w:tc>
          <w:tcPr>
            <w:tcW w:type="dxa" w:w="29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VPS PostgreSQL</w:t>
            </w:r>
          </w:p>
        </w:tc>
        <w:tc>
          <w:tcPr>
            <w:tcW w:type="dxa" w:w="69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Amazon RDS for PostgreSQL with tested backup/PITR configuration</w:t>
            </w:r>
          </w:p>
        </w:tc>
      </w:tr>
      <w:tr>
        <w:trPr>
          <w:cantSplit/>
          <w:cantSplit/>
        </w:trPr>
        <w:tc>
          <w:tcPr>
            <w:tcW w:type="dxa" w:w="29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Private media and backups</w:t>
            </w:r>
          </w:p>
        </w:tc>
        <w:tc>
          <w:tcPr>
            <w:tcW w:type="dxa" w:w="69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Private S3 buckets with IAM policies, encryption and lifecycle rules</w:t>
            </w:r>
          </w:p>
        </w:tc>
      </w:tr>
      <w:tr>
        <w:trPr>
          <w:cantSplit/>
          <w:cantSplit/>
        </w:trPr>
        <w:tc>
          <w:tcPr>
            <w:tcW w:type="dxa" w:w="29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Local application secrets</w:t>
            </w:r>
          </w:p>
        </w:tc>
        <w:tc>
          <w:tcPr>
            <w:tcW w:type="dxa" w:w="69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AWS Secrets Manager or Parameter Store with least-privilege access</w:t>
            </w:r>
          </w:p>
        </w:tc>
      </w:tr>
      <w:tr>
        <w:trPr>
          <w:cantSplit/>
          <w:cantSplit/>
        </w:trPr>
        <w:tc>
          <w:tcPr>
            <w:tcW w:type="dxa" w:w="29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Logs and host alerts</w:t>
            </w:r>
          </w:p>
        </w:tc>
        <w:tc>
          <w:tcPr>
            <w:tcW w:type="dxa" w:w="69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CloudWatch and explicit alarms; redact personal data</w:t>
            </w:r>
          </w:p>
        </w:tc>
      </w:tr>
      <w:tr>
        <w:trPr>
          <w:cantSplit/>
          <w:cantSplit/>
        </w:trPr>
        <w:tc>
          <w:tcPr>
            <w:tcW w:type="dxa" w:w="29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Database outbox jobs</w:t>
            </w:r>
          </w:p>
        </w:tc>
        <w:tc>
          <w:tcPr>
            <w:tcW w:type="dxa" w:w="69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Keep PostgreSQL outbox initially; add SQS through an adapter when throughput merits it</w:t>
            </w:r>
          </w:p>
        </w:tc>
      </w:tr>
      <w:tr>
        <w:trPr>
          <w:cantSplit/>
          <w:cantSplit/>
        </w:trPr>
        <w:tc>
          <w:tcPr>
            <w:tcW w:type="dxa" w:w="29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Future ML inference</w:t>
            </w:r>
          </w:p>
        </w:tc>
        <w:tc>
          <w:tcPr>
            <w:tcW w:type="dxa" w:w="69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Internal Python service; managed or dedicated compute only after model validation</w:t>
            </w:r>
          </w:p>
        </w:tc>
      </w:tr>
    </w:tbl>
    <w:p/>
    <w:p>
      <w:pPr>
        <w:pStyle w:val="Heading2"/>
      </w:pPr>
      <w:r>
        <w:t>Migration sequence</w:t>
      </w:r>
    </w:p>
    <w:p>
      <w:r>
        <w:t>Provision reproducibly, rehearse with a sanitized copy and verify extension/migration compatibility. Copy media with checksums. Perform database migration with a planned write freeze or reviewed replication strategy; prevent dual writes. Switch application connection and traffic after consistency checks. Run smoke, money reconciliation and monitoring; retain prior infrastructure for a defined rollback window. Once writes occur in the new database, rollback needs a data plan, not just a DNS reversal.</w:t>
      </w:r>
    </w:p>
    <w:p>
      <w:pPr>
        <w:pStyle w:val="Heading2"/>
      </w:pPr>
      <w:r>
        <w:t>Scaling within the chosen design</w:t>
      </w:r>
    </w:p>
    <w:p>
      <w:r>
        <w:t>Application processes remain stateless; sessions, reservations, jobs and files are external. Add API/web replicas independently, connection pooling and caching only after measured demand. Put critical checks on the primary database. Public catalog caching has short TTL and invalidation, while final booking rechecks live eligibility. Separate analytics/inference from transactional workloads as they grow. Consider microservices only for an independently owned module with a measured scaling or deployment need.</w:t>
      </w:r>
    </w:p>
    <w:p>
      <w:r>
        <w:t>AWS costs include instance/storage, database, backups, transfer, load balancing, logging and networking. Do not assume cloud migration is cheaper or select Kubernetes by default. Obtain a region-specific estimate at Phase 8, set budget alerts and explicitly review fixed charges. Choose region and data-processing arrangements through the approved privacy and operational plan.</w:t>
      </w:r>
    </w:p>
    <w:p>
      <w:r>
        <w:br w:type="page"/>
      </w:r>
    </w:p>
    <w:p>
      <w:pPr>
        <w:pStyle w:val="Heading1"/>
      </w:pPr>
      <w:r>
        <w:t>17 Source notes and unresolved dependencies</w:t>
      </w:r>
    </w:p>
    <w:p>
      <w:pPr>
        <w:pStyle w:val="Heading2"/>
      </w:pPr>
      <w:r>
        <w:t>Sources checked on 11 October 2026</w:t>
      </w:r>
    </w:p>
    <w:p>
      <w:r>
        <w:t>[3] MeitY, DPDP Rules 2025 and DPDP Act 2023. Phased commencement, child-data processing and behavioural-monitoring restrictions require review for matching and gamification. Parent consent alone is not assumed to authorize every processing purpose. https://www.meity.gov.in/static/uploads/2025/11/53450e6e5dc0bfa85ebd78686cadad39.pdf and https://www.meity.gov.in/static/uploads/2024/06/2bf1f0e9f04e6fb4f8fef35e82c42aa5.pdf</w:t>
      </w:r>
    </w:p>
    <w:p>
      <w:r>
        <w:t>[4] NestJS official Modules documentation. Used for the module-based backend structure. https://docs.nestjs.com/modules</w:t>
      </w:r>
    </w:p>
    <w:p>
      <w:r>
        <w:t>[5] AWS Prescriptive Guidance, Transactional outbox pattern. Used for atomic state/event intent and duplicate-safe consumers. https://docs.aws.amazon.com/prescriptive-guidance/latest/cloud-design-patterns/transactional-outbox.html</w:t>
      </w:r>
    </w:p>
    <w:p>
      <w:r>
        <w:t>[6] Node.js official releases. Use a maintained LTS runtime and confirm compatibility at kickoff. https://nodejs.org/en/about/previous-releases</w:t>
      </w:r>
    </w:p>
    <w:p>
      <w:r>
        <w:t>[7] PostgreSQL official versioning policy. Select a supported patched major and maintain updates. https://www.postgresql.org/support/versioning/</w:t>
      </w:r>
    </w:p>
    <w:p>
      <w:r>
        <w:t>[8] OWASP ASVS official project, stable 5.0.0 referenced for security controls. https://owasp.org/projects/asvs</w:t>
      </w:r>
    </w:p>
    <w:p>
      <w:pPr>
        <w:pStyle w:val="Heading2"/>
      </w:pPr>
      <w:r>
        <w:t>Dependencies that block live release</w:t>
      </w:r>
    </w:p>
    <w:p>
      <w:pPr>
        <w:pStyle w:val="ListBullet"/>
      </w:pPr>
      <w:r>
        <w:t>Guardian adult verification method, privacy notices, retention and child-data processing review.</w:t>
      </w:r>
    </w:p>
    <w:p>
      <w:pPr>
        <w:pStyle w:val="ListBullet"/>
      </w:pPr>
      <w:r>
        <w:t>Payment provider approval for revision collection and expert settlement, tax treatment and final fee/refund terms.</w:t>
      </w:r>
    </w:p>
    <w:p>
      <w:pPr>
        <w:pStyle w:val="ListBullet"/>
      </w:pPr>
      <w:r>
        <w:t>Supported VPS capacity and region-specific actual cost; domain/DNS access and host ownership.</w:t>
      </w:r>
    </w:p>
    <w:p>
      <w:pPr>
        <w:pStyle w:val="ListBullet"/>
      </w:pPr>
      <w:r>
        <w:t>OTP, media scanning, meeting and notification provider choices with failure-handling and data terms.</w:t>
      </w:r>
    </w:p>
    <w:p>
      <w:pPr>
        <w:pStyle w:val="ListBullet"/>
      </w:pPr>
      <w:r>
        <w:t>Teachers with screened subject coverage and actual revision/recurring availability; named support operator.</w:t>
      </w:r>
    </w:p>
    <w:p>
      <w:pPr>
        <w:pStyle w:val="Heading2"/>
      </w:pPr>
      <w:r>
        <w:t>What is intentionally not claimed</w:t>
      </w:r>
    </w:p>
    <w:p>
      <w:r>
        <w:t>This document does not establish legal compliance, guaranteed teacher quality, model performance, uptime, cost or passing security tests. It does not deploy a server or create application code. The phases define how those claims become verifiable. AI/ML readiness means deliberate interfaces and approved evidence, not permission to collect unlimited child data or a promise that a model will outperform careful matching.</w:t>
      </w:r>
    </w:p>
    <w:p>
      <w:pPr>
        <w:pStyle w:val="Heading2"/>
      </w:pPr>
      <w:r>
        <w:t>Product measures to collect during the pilot</w:t>
      </w:r>
    </w:p>
    <w:p>
      <w:r>
        <w:t>Qualified request-to-demo and request-to-placement conversion, recommendation response time, teacher availability accuracy, revision fulfilment and refund rate, day-30 continuation, teacher retention and contribution per service. Report cohort size and maturity. Standard matching and paid-service results are separate. Retention should arise from useful services; do not force teachers to remain by obstructing their independent business.</w:t>
      </w:r>
    </w:p>
    <w:p>
      <w:r>
        <w:br w:type="page"/>
      </w:r>
    </w:p>
    <w:p>
      <w:pPr>
        <w:pStyle w:val="Heading1"/>
      </w:pPr>
      <w:r>
        <w:t>18 Required role dashboards and learning records</w:t>
      </w:r>
    </w:p>
    <w:p>
      <w:r>
        <w:t>Launch requirement: students, parents and teachers receive dedicated dashboards. Sections 18–21 add mandatory P0 scope to the existing specification. Advanced analytics remains later work; the records and contracts needed to support it are required now.</w:t>
      </w:r>
    </w:p>
    <w:tbl>
      <w:tblPr>
        <w:tblW w:type="auto" w:w="0"/>
        <w:tblLayout w:type="fixed"/>
        <w:tblLook w:firstColumn="1" w:firstRow="1" w:lastColumn="0" w:lastRow="0" w:noHBand="0" w:noVBand="1" w:val="04A0"/>
      </w:tblPr>
      <w:tblGrid>
        <w:gridCol w:w="1584"/>
        <w:gridCol w:w="8352"/>
      </w:tblGrid>
      <w:tr>
        <w:trPr>
          <w:cantSplit/>
          <w:cantSplit/>
          <w:tblHeader/>
        </w:trPr>
        <w:tc>
          <w:tcPr>
            <w:tcW w:type="dxa" w:w="15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Role</w:t>
            </w:r>
          </w:p>
        </w:tc>
        <w:tc>
          <w:tcPr>
            <w:tcW w:type="dxa" w:w="83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MVP information</w:t>
            </w:r>
          </w:p>
        </w:tc>
      </w:tr>
      <w:tr>
        <w:trPr>
          <w:cantSplit/>
          <w:cantSplit/>
        </w:trPr>
        <w:tc>
          <w:tcPr>
            <w:tcW w:type="dxa" w:w="15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Student</w:t>
            </w:r>
          </w:p>
        </w:tc>
        <w:tc>
          <w:tcPr>
            <w:tcW w:type="dxa" w:w="83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Own teacher, subject, next class, completed classes in the last 30 days and attendance history; no financial or other-student access</w:t>
            </w:r>
          </w:p>
        </w:tc>
      </w:tr>
      <w:tr>
        <w:trPr>
          <w:cantSplit/>
          <w:cantSplit/>
        </w:trPr>
        <w:tc>
          <w:tcPr>
            <w:tcW w:type="dxa" w:w="15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Parent</w:t>
            </w:r>
          </w:p>
        </w:tc>
        <w:tc>
          <w:tcPr>
            <w:tcW w:type="dxa" w:w="83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Per-child last-30-day class count, calendar and attendance, cancellations, upcoming lessons, active teacher, revision bookings and Pro call allowance</w:t>
            </w:r>
          </w:p>
        </w:tc>
      </w:tr>
      <w:tr>
        <w:trPr>
          <w:cantSplit/>
          <w:cantSplit/>
        </w:trPr>
        <w:tc>
          <w:tcPr>
            <w:tcW w:type="dxa" w:w="15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w:t>
            </w:r>
          </w:p>
        </w:tc>
        <w:tc>
          <w:tcPr>
            <w:tcW w:type="dxa" w:w="83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Distinct active assigned students, distinct students taught in the period, completed lessons, attendance-record completeness, own cancellation/no-show counts and available feedback</w:t>
            </w:r>
          </w:p>
        </w:tc>
      </w:tr>
      <w:tr>
        <w:trPr>
          <w:cantSplit/>
          <w:cantSplit/>
        </w:trPr>
        <w:tc>
          <w:tcPr>
            <w:tcW w:type="dxa" w:w="158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Super admin</w:t>
            </w:r>
          </w:p>
        </w:tc>
        <w:tc>
          <w:tcPr>
            <w:tcW w:type="dxa" w:w="835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Operational overview with drill-down into requests, teacher approval, lessons, billing, Pro calls, support and system health</w:t>
            </w:r>
          </w:p>
        </w:tc>
      </w:tr>
    </w:tbl>
    <w:p/>
    <w:p>
      <w:pPr>
        <w:pStyle w:val="Heading2"/>
      </w:pPr>
      <w:r>
        <w:t>Define what a class count means</w:t>
      </w:r>
    </w:p>
    <w:p>
      <w:r>
        <w:t>Default to a rolling 30-day window in Asia/Kolkata; offer previous calendar month and a date-range filter. Show the exact date range and separate recurring lessons, demos and paid revision. A student class-taken count includes completed lessons where that student is marked PRESENT or LATE. Scheduled, cancelled, absent or disputed lessons do not count. Teacher completed-lesson counts and unique-student counts are separate metrics.</w:t>
      </w:r>
    </w:p>
    <w:p>
      <w:r>
        <w:t>Generate dated recurring Lesson occurrences from accepted schedules. Teacher records completion and per-student attendance; parent/student can flag an incorrect record. Mark disputes visibly and exclude disputed attendance from verified totals until reviewed. Counts describe recorded service activity, not guaranteed learning improvement. Display pending confirmations separately; do not infer attendance from checkout or placement status.</w:t>
      </w:r>
    </w:p>
    <w:p>
      <w:pPr>
        <w:pStyle w:val="Heading2"/>
      </w:pPr>
      <w:r>
        <w:t>Data and analytics extension points</w:t>
      </w:r>
    </w:p>
    <w:p>
      <w:r>
        <w:t>Add Lesson, LessonParticipant, AttendanceRecord, LessonDispute and TeacherFeedback records, linked to placement or revision. Use one common lesson identity so a revision payment and lesson cannot produce two attendance entries. Attendance changes carry actor, timestamp, reason and version; preserve correction history. Feedback is tied to an eligible attended lesson and moderated before public use.</w:t>
      </w:r>
    </w:p>
    <w:p>
      <w:r>
        <w:t>Emit versioned lesson/attendance events through the transactional outbox. Begin with indexed PostgreSQL queries and server-owned metric definitions. Later read models or a warehouse consume the same events. Include metricVersion, window, timezone and lastUpdated in dashboard responses. Keep child identifiers private and do not export attendance for ML without an approved purpose.</w:t>
      </w:r>
    </w:p>
    <w:p>
      <w:pPr>
        <w:pStyle w:val="Heading2"/>
      </w:pPr>
      <w:r>
        <w:t>US17 P0 acceptance and tests</w:t>
      </w:r>
    </w:p>
    <w:p>
      <w:pPr>
        <w:pStyle w:val="ListBullet"/>
      </w:pPr>
      <w:r>
        <w:t>Student A cannot view student B, even under the same teacher; a guardian sees only linked children; a teacher sees only authorized assignments.</w:t>
      </w:r>
    </w:p>
    <w:p>
      <w:pPr>
        <w:pStyle w:val="ListBullet"/>
      </w:pPr>
      <w:r>
        <w:t>A corrected attendance record changes totals once; duplicate events and repeated completion requests never double-count a lesson.</w:t>
      </w:r>
    </w:p>
    <w:p>
      <w:pPr>
        <w:pStyle w:val="ListBullet"/>
      </w:pPr>
      <w:r>
        <w:t>Date-boundary, cancelled, absent, disputed and revision-versus-recurring examples produce the specified totals; zero data shows an explicit empty state.</w:t>
      </w:r>
    </w:p>
    <w:p>
      <w:pPr>
        <w:pStyle w:val="ListBullet"/>
      </w:pPr>
      <w:r>
        <w:t>Teacher performance shows counts, denominators and feedback sample size; no opaque quality score or invented improvement percentage.</w:t>
      </w:r>
    </w:p>
    <w:p>
      <w:r>
        <w:br w:type="page"/>
      </w:r>
    </w:p>
    <w:p>
      <w:pPr>
        <w:pStyle w:val="Heading1"/>
      </w:pPr>
      <w:r>
        <w:t>19 Parent Pro calling and membership</w:t>
      </w:r>
    </w:p>
    <w:p>
      <w:r>
        <w:t>Parent Pro calling is mandatory MVP functionality. Free parents retain ordinary support and all safety reporting. Pro buys convenient teacher consultation access; it does not buy favourable matching rank or priority in resolving safety complaints.</w:t>
      </w:r>
    </w:p>
    <w:p>
      <w:pPr>
        <w:pStyle w:val="Heading2"/>
      </w:pPr>
      <w:r>
        <w:t>Practical launch promise</w:t>
      </w:r>
    </w:p>
    <w:p>
      <w:r>
        <w:t>An active Pro parent can request a call to the child’s active teacher during declared consultation windows, or reserve an advertised callback slot. Teacher accepts participating terms and publishes consultation availability separately from teaching slots. Immediate ringing is offered only when the teacher is marked available and not teaching. A missed call offers callback booking; it never promises 24/7 access. Confirm the call-duration allowance, booking limits and price with teachers before selling the plan.</w:t>
      </w:r>
    </w:p>
    <w:p>
      <w:r>
        <w:t>Suggested configurable pilot package: a monthly allowance of four consultations of up to ten minutes, plus ordinary support. This is a proposal, not an approved commercial price or entitlement. Display the actual allowance, unused balance, period end, cancellation and refund terms before purchase. Allow requests outside a window but schedule delivery inside an accepted window; urgent safeguarding goes to ordinary support.</w:t>
      </w:r>
    </w:p>
    <w:p>
      <w:pPr>
        <w:pStyle w:val="Heading2"/>
      </w:pPr>
      <w:r>
        <w:t>Calls are a protected workflow</w:t>
      </w:r>
    </w:p>
    <w:p>
      <w:r>
        <w:t>Use an in-app audio or masked telephony provider through CallProvider; do not expose personal phone numbers. Select one transport and validate its network/cost implications during Phase 1. Store CallRequest, accepted interval, CallSession provider reference, participant authorization, connected duration and outcome. No recording by default. Meeting/call access is short-lived and specific to the named participants. Students cannot independently initiate Pro calls in the pilot.</w:t>
      </w:r>
    </w:p>
    <w:p>
      <w:r>
        <w:t>Recheck active membership, guardian-child linkage, active teacher assignment, teacher status, allowance and availability on the backend. Reserve allowance transactionally at acceptance; charge consumed minutes/calls from verified connected-session evidence. Failed connection and teacher no-show release allowance. Concurrent requests cannot overspend; duplicate provider events cannot charge twice. Replacement removes access to the previous teacher.</w:t>
      </w:r>
    </w:p>
    <w:p>
      <w:pPr>
        <w:pStyle w:val="Heading2"/>
      </w:pPr>
      <w:r>
        <w:t>Membership billing and cancellation</w:t>
      </w:r>
    </w:p>
    <w:p>
      <w:r>
        <w:t>Add Plan, Subscription, EntitlementPeriod and UsageReservation. Use approved hosted recurring checkout where supported; otherwise offer a clearly labelled prepaid 30-day Pro pass without automatic renewal. Both require expiry and entitlement checks; do not describe a prepaid pass as auto-renewing. Provider-approved renewal uses signed events, reconciliation, cancel-renewal controls and disclosed policies. Never grant Pro from a browser success redirect alone.</w:t>
      </w:r>
    </w:p>
    <w:p>
      <w:r>
        <w:t>Billing states include pending, active, renewal-failed, cancelled-at-period-end, expired and refunded. Period-end cancellation normally preserves purchased access until expiry; refund policy determines any earlier revocation. Renewals create distinct periods without resetting prior usage history. Teachers receive disclosed compensation for consultations through tracked payables; measure contribution after call-provider costs and support.</w:t>
      </w:r>
    </w:p>
    <w:p>
      <w:pPr>
        <w:pStyle w:val="Heading2"/>
      </w:pPr>
      <w:r>
        <w:t>US18 P0 acceptance and tests</w:t>
      </w:r>
    </w:p>
    <w:p>
      <w:pPr>
        <w:pStyle w:val="ListBullet"/>
      </w:pPr>
      <w:r>
        <w:t>Free, expired and unrelated guardians cannot start a Pro call; the page explains eligibility without revealing teacher contact details.</w:t>
      </w:r>
    </w:p>
    <w:p>
      <w:pPr>
        <w:pStyle w:val="ListBullet"/>
      </w:pPr>
      <w:r>
        <w:t>Availability, allowance reservation, timeout, cancellation, renewal failure, refund, replay and replacement tests pass against real backend state.</w:t>
      </w:r>
    </w:p>
    <w:p>
      <w:pPr>
        <w:pStyle w:val="ListBullet"/>
      </w:pPr>
      <w:r>
        <w:t>Provider outage offers a visible retry/callback path; no failed call consumes allowance; overlap with teaching is blocked.</w:t>
      </w:r>
    </w:p>
    <w:p>
      <w:r>
        <w:br w:type="page"/>
      </w:r>
    </w:p>
    <w:p>
      <w:pPr>
        <w:pStyle w:val="Heading1"/>
      </w:pPr>
      <w:r>
        <w:t>20 Role-specific onboarding and student access</w:t>
      </w:r>
    </w:p>
    <w:p>
      <w:r>
        <w:t>Provide separate, responsive onboarding routes for parent, student and teacher. Each shows progress, validates every step and supports resume. The backend owns state and permissions; choosing a role on the landing page cannot grant privileges.</w:t>
      </w:r>
    </w:p>
    <w:tbl>
      <w:tblPr>
        <w:tblW w:type="auto" w:w="0"/>
        <w:tblLayout w:type="fixed"/>
        <w:tblLook w:firstColumn="1" w:firstRow="1" w:lastColumn="0" w:lastRow="0" w:noHBand="0" w:noVBand="1" w:val="04A0"/>
      </w:tblPr>
      <w:tblGrid>
        <w:gridCol w:w="2088"/>
        <w:gridCol w:w="7848"/>
      </w:tblGrid>
      <w:tr>
        <w:trPr>
          <w:cantSplit/>
          <w:cantSplit/>
          <w:tblHeader/>
        </w:trPr>
        <w:tc>
          <w:tcPr>
            <w:tcW w:type="dxa" w:w="20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Onboarding</w:t>
            </w:r>
          </w:p>
        </w:tc>
        <w:tc>
          <w:tcPr>
            <w:tcW w:type="dxa" w:w="78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Required journey</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Parent /onboarding/parent</w:t>
            </w:r>
          </w:p>
        </w:tc>
        <w:tc>
          <w:tcPr>
            <w:tcW w:type="dxa" w:w="78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Adult authentication and verification; purpose-specific consent; child alias/class/board; teaching need and preferences; link existing records rather than duplicate children</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Student /onboarding/student</w:t>
            </w:r>
          </w:p>
        </w:tc>
        <w:tc>
          <w:tcPr>
            <w:tcW w:type="dxa" w:w="78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Guardian invitation or parent-managed activation; short age-appropriate notice; alias and learning preferences; consent-linked limited dashboard</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Teacher /onboarding/teacher</w:t>
            </w:r>
          </w:p>
        </w:tc>
        <w:tc>
          <w:tcPr>
            <w:tcW w:type="dxa" w:w="784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Adult authentication; profile and qualifications; subject/class/board coverage; online/home service areas; availability and consultation opt-in; private evidence; fee/call terms; pending review</w:t>
            </w:r>
          </w:p>
        </w:tc>
      </w:tr>
    </w:tbl>
    <w:p/>
    <w:p>
      <w:pPr>
        <w:pStyle w:val="Heading2"/>
      </w:pPr>
      <w:r>
        <w:t>Guardian-linked student identity</w:t>
      </w:r>
    </w:p>
    <w:p>
      <w:r>
        <w:t>Student access is optional for the family but available in the MVP. Create a restricted StudentAccess identity tied to one Child and verified guardian authorization. Use single-use expiring invitation tokens stored hashed. A parent-approved device session avoids requiring a child phone number. Treat the student identity as a separate session principal; do not let a shared browser inherit parent privileges. Adult guardian owns purchases, bookings, consent and deletion requests.</w:t>
      </w:r>
    </w:p>
    <w:p>
      <w:r>
        <w:t>Student can read own upcoming lessons, attendance history and assigned teacher, and flag an attendance error. Exclude financial actions, public profiles, direct messaging, private guardian notes, account administration and other children. Do not collect birth documents, school location or student photographs by default. Consent withdrawal disables student sessions and processing; guardian can revoke any linked device. Privacy and safeguarding review remains a release prerequisite.</w:t>
      </w:r>
    </w:p>
    <w:p>
      <w:pPr>
        <w:pStyle w:val="Heading2"/>
      </w:pPr>
      <w:r>
        <w:t>Onboarding state and ownership</w:t>
      </w:r>
    </w:p>
    <w:p>
      <w:r>
        <w:t>Add OnboardingProgress, GuardianStudentLink and Invitation records. Parent states: draft, verification-pending, consent-pending, ready. Teacher states: draft, submitted, changes-requested, approved or suspended. Student states: invitation-pending, guardian-authorized, active or revoked. Approval requires all mandatory screening steps. Material teacher-profile changes re-open review and prevent advertising unreviewed capabilities.</w:t>
      </w:r>
    </w:p>
    <w:p>
      <w:r>
        <w:t>Draft saving supports idempotency and optimistic version checks. Uploaded teacher evidence is private and quarantined. Use clear error and retry states for incomplete verification, failed upload, expired invitation, already-linked student and interrupted network. Show successful completion only after backend confirmation; never hide a pending reviewer or provider dependency behind a success screen.</w:t>
      </w:r>
    </w:p>
    <w:p>
      <w:pPr>
        <w:pStyle w:val="Heading2"/>
      </w:pPr>
      <w:r>
        <w:t>US19 P0 acceptance and tests</w:t>
      </w:r>
    </w:p>
    <w:p>
      <w:pPr>
        <w:pStyle w:val="ListBullet"/>
      </w:pPr>
      <w:r>
        <w:t>A parent can pause/resume without duplicate child/request records; child-data capture is blocked until verification and required consent are complete.</w:t>
      </w:r>
    </w:p>
    <w:p>
      <w:pPr>
        <w:pStyle w:val="ListBullet"/>
      </w:pPr>
      <w:r>
        <w:t>An expired, replayed or wrong-recipient invitation cannot activate student access; revoked sessions cannot read student data.</w:t>
      </w:r>
    </w:p>
    <w:p>
      <w:pPr>
        <w:pStyle w:val="ListBullet"/>
      </w:pPr>
      <w:r>
        <w:t>Student endpoints cannot call parent financial or private-note operations; guardian account switching clears private cached data.</w:t>
      </w:r>
    </w:p>
    <w:p>
      <w:pPr>
        <w:pStyle w:val="ListBullet"/>
      </w:pPr>
      <w:r>
        <w:t>Teacher cannot self-approve, bypass evidence checks or acquire admin rights by editing role/profile fields.</w:t>
      </w:r>
    </w:p>
    <w:p>
      <w:pPr>
        <w:pStyle w:val="ListBullet"/>
      </w:pPr>
      <w:r>
        <w:t>All three journeys work on 360 px mobile width, with keyboard labels, progress and visible provider/reviewer pending states.</w:t>
      </w:r>
    </w:p>
    <w:p>
      <w:r>
        <w:br w:type="page"/>
      </w:r>
    </w:p>
    <w:p>
      <w:pPr>
        <w:pStyle w:val="Heading1"/>
      </w:pPr>
      <w:r>
        <w:t>21 Super admin control and revised delivery scope</w:t>
      </w:r>
    </w:p>
    <w:p>
      <w:r>
        <w:t>Build a single protected control console with enterprise-grade access discipline and practical MVP breadth. It controls the application through audited backend services; it is not a database editor or an unrestricted override tool.</w:t>
      </w:r>
    </w:p>
    <w:tbl>
      <w:tblPr>
        <w:tblW w:type="auto" w:w="0"/>
        <w:tblLayout w:type="fixed"/>
        <w:tblLook w:firstColumn="1" w:firstRow="1" w:lastColumn="0" w:lastRow="0" w:noHBand="0" w:noVBand="1" w:val="04A0"/>
      </w:tblPr>
      <w:tblGrid>
        <w:gridCol w:w="2016"/>
        <w:gridCol w:w="7920"/>
      </w:tblGrid>
      <w:tr>
        <w:trPr>
          <w:cantSplit/>
          <w:cantSplit/>
          <w:tblHeader/>
        </w:trPr>
        <w:tc>
          <w:tcPr>
            <w:tcW w:type="dxa" w:w="20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Control area</w:t>
            </w:r>
          </w:p>
        </w:tc>
        <w:tc>
          <w:tcPr>
            <w:tcW w:type="dxa" w:w="792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DF2"/>
          </w:tcPr>
          <w:p>
            <w:pPr>
              <w:spacing w:after="20"/>
            </w:pPr>
            <w:r>
              <w:rPr>
                <w:b/>
                <w:sz w:val="18"/>
              </w:rPr>
              <w:t>Required MVP controls</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People and supply</w:t>
            </w:r>
          </w:p>
        </w:tc>
        <w:tc>
          <w:tcPr>
            <w:tcW w:type="dxa" w:w="792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Account status; teacher verification and suspension; guardian/student linkage review; regions and service coverage</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Marketplace and classes</w:t>
            </w:r>
          </w:p>
        </w:tc>
        <w:tc>
          <w:tcPr>
            <w:tcW w:type="dxa" w:w="792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Requests, candidate decisions, demos, placements, lesson/attendance disputes and revision reservations</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Money and Pro</w:t>
            </w:r>
          </w:p>
        </w:tc>
        <w:tc>
          <w:tcPr>
            <w:tcW w:type="dxa" w:w="792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Versioned fees/plans, invoices, captured payments, refunds, teacher payables, memberships and call usage</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Service and privacy</w:t>
            </w:r>
          </w:p>
        </w:tc>
        <w:tc>
          <w:tcPr>
            <w:tcW w:type="dxa" w:w="792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Cases, replacements, consent/deletion queues, communication delivery and restricted evidence access</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Platform operation</w:t>
            </w:r>
          </w:p>
        </w:tc>
        <w:tc>
          <w:tcPr>
            <w:tcW w:type="dxa" w:w="792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20"/>
            </w:pPr>
            <w:r>
              <w:rPr>
                <w:b w:val="0"/>
                <w:sz w:val="18"/>
              </w:rPr>
              <w:t>Feature flags, integration health, failed jobs/reconciliation queues, audited retry and release status</w:t>
            </w:r>
          </w:p>
        </w:tc>
      </w:tr>
    </w:tbl>
    <w:p/>
    <w:p>
      <w:pPr>
        <w:pStyle w:val="Heading2"/>
      </w:pPr>
      <w:r>
        <w:t>Privileged access and safe actions</w:t>
      </w:r>
    </w:p>
    <w:p>
      <w:r>
        <w:t>Super admin requires MFA, session timeout and server-owned permissions. Delegated reviewer, regional operator, finance and support roles share the console but see only their allowed modules and regions. Mask sensitive data; record reason and audit before privileged evidence access. No silent impersonation in the MVP. Exclude arbitrary SQL, shell execution, secret viewing and unaudited data export.</w:t>
      </w:r>
    </w:p>
    <w:p>
      <w:r>
        <w:t>Refunds, role grants, teacher suspension and pricing changes require explicit confirmation and a reason. Refunds remain within captured funds and provider policy; changes do not rewrite accepted commercial terms. Use dual approval for role grants and configurable high-value refunds where separate approvers exist. If no independent approver is available, block those actions pending a documented authorization process; do not fabricate separation of duties.</w:t>
      </w:r>
    </w:p>
    <w:p>
      <w:r>
        <w:t>Configuration has schema validation, version history and rollback. Region enablement requires supply checks. Launch offers kill switches for checkout, new revision bookings, Pro calls and future AI. Already captured payments, refunds and support continue through the appropriate recovery workflow. Dashboard health views contain sanitized operational signals, never secrets or raw infrastructure administration credentials.</w:t>
      </w:r>
    </w:p>
    <w:p>
      <w:pPr>
        <w:pStyle w:val="Heading2"/>
      </w:pPr>
      <w:r>
        <w:t>US20 P0 acceptance and tests</w:t>
      </w:r>
    </w:p>
    <w:p>
      <w:pPr>
        <w:pStyle w:val="ListBullet"/>
      </w:pPr>
      <w:r>
        <w:t>Each admin operation rejects unauthorized roles and regions, including direct API calls; every privileged mutation records actor, reason, before/after and correlation ID.</w:t>
      </w:r>
    </w:p>
    <w:p>
      <w:pPr>
        <w:pStyle w:val="ListBullet"/>
      </w:pPr>
      <w:r>
        <w:t>Retries cannot duplicate refunds, messages or job execution. Stale versions return conflict. Sensitive actions require recent authentication and configured approvals.</w:t>
      </w:r>
    </w:p>
    <w:p>
      <w:pPr>
        <w:pStyle w:val="ListBullet"/>
      </w:pPr>
      <w:r>
        <w:t>Kill switches block new relevant transactions without erasing bookings or money records; audit and financial history cannot be edited from the console.</w:t>
      </w:r>
    </w:p>
    <w:p>
      <w:pPr>
        <w:pStyle w:val="Heading2"/>
      </w:pPr>
      <w:r>
        <w:t>Revised phases, effort and launch gate</w:t>
      </w:r>
    </w:p>
    <w:p>
      <w:r>
        <w:t>Retain seven phases. Phase 1 adds student-principal, lesson, membership/call and admin contracts. Phase 2 adds learning-record APIs and onboarding state. Phase 3 delivers all three role dashboards and onboarding plus console screens. Phase 4 adds Pro billing/calling and attendance transactions. Phase 5 adds metric read models, admin operations and disputes. Phase 6 validates the expanded role, privacy, call, billing and recovery surface. Phase 7 remains the first live VPS pilot.</w:t>
      </w:r>
    </w:p>
    <w:p>
      <w:r>
        <w:t>Add approximately 120–200 engineering hours to the earlier scope: total 440–720 hours, roughly 18–29 weeks at 25 focused hours/week, excluding provider/legal waits and screening operations. These are planning estimates to revise after Phase 1. Sprint 1 remains 50 hours: its API/schema tickets include the new contracts, while implementation of dashboards and calls follows their phases. US17–US20 are required release gates; attendance, student-access and Pro-provider failures cannot be waived as optional features.</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BetterCallSir   |   Product and engineering specification   |   Version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