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D50"/>
          <w:sz w:val="68"/>
        </w:rPr>
        <w:t>Employee Turnover Analytics</w:t>
      </w:r>
    </w:p>
    <w:p>
      <w:pPr>
        <w:jc w:val="center"/>
      </w:pPr>
      <w:r>
        <w:rPr>
          <w:color w:val="555555"/>
          <w:sz w:val="32"/>
        </w:rPr>
        <w:t>Predicting and Preventing Employee Attrition using Machine Learning</w:t>
      </w:r>
    </w:p>
    <w:p/>
    <w:p>
      <w:pPr>
        <w:jc w:val="center"/>
      </w:pPr>
      <w:r>
        <w:rPr>
          <w:i/>
          <w:color w:val="555555"/>
          <w:sz w:val="24"/>
        </w:rPr>
        <w:t>Data-Driven HR Analytics Case Study</w:t>
      </w:r>
    </w:p>
    <w:p>
      <w:r>
        <w:br w:type="page"/>
      </w:r>
    </w:p>
    <w:p>
      <w:pPr>
        <w:pStyle w:val="Heading1"/>
      </w:pPr>
      <w:r>
        <w:rPr>
          <w:color w:val="1F2D50"/>
          <w:sz w:val="40"/>
        </w:rPr>
        <w:t>1. Business Problem</w:t>
      </w:r>
    </w:p>
    <w:p>
      <w:r>
        <w:rPr>
          <w:b w:val="0"/>
          <w:i w:val="0"/>
          <w:sz w:val="22"/>
        </w:rPr>
        <w:t>A large company (Portobello Tech) is facing a high rate of employee attrition. Losing skilled employees is costly: hiring, onboarding, and lost productivity all add up. The goal of this project is to understand WHY employees leave and to build a predictive model that flags employees who are at risk of leaving — so HR can intervene before it happens.</w:t>
      </w:r>
    </w:p>
    <w:p>
      <w:pPr>
        <w:pStyle w:val="ListBullet"/>
      </w:pPr>
      <w:r>
        <w:t>Dataset: HR_comma_sep.csv — 14,999 employee records, 10 columns, no missing values.</w:t>
      </w:r>
    </w:p>
    <w:p>
      <w:pPr>
        <w:pStyle w:val="ListBullet"/>
      </w:pPr>
      <w:r>
        <w:t>Target variable: left (1 = employee left, 0 = employee stayed).</w:t>
      </w:r>
    </w:p>
    <w:p>
      <w:pPr>
        <w:pStyle w:val="ListBullet"/>
      </w:pPr>
      <w:r>
        <w:t>Class distribution: 11,428 stayed (76.2%) vs. 3,571 left (23.8%) — an imbalanced target.</w:t>
      </w:r>
    </w:p>
    <w:p>
      <w:pPr>
        <w:pStyle w:val="Heading2"/>
      </w:pPr>
      <w:r>
        <w:rPr>
          <w:color w:val="1F2D50"/>
        </w:rPr>
        <w:t>Dataset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D50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fill="1F2D50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F2D50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satisfaction_level</w:t>
            </w:r>
          </w:p>
        </w:tc>
        <w:tc>
          <w:tcPr>
            <w:tcW w:type="dxa" w:w="2880"/>
          </w:tcPr>
          <w:p>
            <w:r>
              <w:t>Numeric (0–1)</w:t>
            </w:r>
          </w:p>
        </w:tc>
        <w:tc>
          <w:tcPr>
            <w:tcW w:type="dxa" w:w="2880"/>
          </w:tcPr>
          <w:p>
            <w:r>
              <w:t>Employee satisfaction score</w:t>
            </w:r>
          </w:p>
        </w:tc>
      </w:tr>
      <w:tr>
        <w:tc>
          <w:tcPr>
            <w:tcW w:type="dxa" w:w="2880"/>
          </w:tcPr>
          <w:p>
            <w:r>
              <w:t>last_evaluation</w:t>
            </w:r>
          </w:p>
        </w:tc>
        <w:tc>
          <w:tcPr>
            <w:tcW w:type="dxa" w:w="2880"/>
          </w:tcPr>
          <w:p>
            <w:r>
              <w:t>Numeric (0–1)</w:t>
            </w:r>
          </w:p>
        </w:tc>
        <w:tc>
          <w:tcPr>
            <w:tcW w:type="dxa" w:w="2880"/>
          </w:tcPr>
          <w:p>
            <w:r>
              <w:t>Last performance evaluation score</w:t>
            </w:r>
          </w:p>
        </w:tc>
      </w:tr>
      <w:tr>
        <w:tc>
          <w:tcPr>
            <w:tcW w:type="dxa" w:w="2880"/>
          </w:tcPr>
          <w:p>
            <w:r>
              <w:t>number_project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Number of projects assigned</w:t>
            </w:r>
          </w:p>
        </w:tc>
      </w:tr>
      <w:tr>
        <w:tc>
          <w:tcPr>
            <w:tcW w:type="dxa" w:w="2880"/>
          </w:tcPr>
          <w:p>
            <w:r>
              <w:t>average_montly_hours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Average monthly working hours</w:t>
            </w:r>
          </w:p>
        </w:tc>
      </w:tr>
      <w:tr>
        <w:tc>
          <w:tcPr>
            <w:tcW w:type="dxa" w:w="2880"/>
          </w:tcPr>
          <w:p>
            <w:r>
              <w:t>time_spend_company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Years spent at the company</w:t>
            </w:r>
          </w:p>
        </w:tc>
      </w:tr>
      <w:tr>
        <w:tc>
          <w:tcPr>
            <w:tcW w:type="dxa" w:w="2880"/>
          </w:tcPr>
          <w:p>
            <w:r>
              <w:t>Work_accident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Had a workplace accident</w:t>
            </w:r>
          </w:p>
        </w:tc>
      </w:tr>
      <w:tr>
        <w:tc>
          <w:tcPr>
            <w:tcW w:type="dxa" w:w="2880"/>
          </w:tcPr>
          <w:p>
            <w:r>
              <w:t>left</w:t>
            </w:r>
          </w:p>
        </w:tc>
        <w:tc>
          <w:tcPr>
            <w:tcW w:type="dxa" w:w="2880"/>
          </w:tcPr>
          <w:p>
            <w:r>
              <w:t>Binary (target)</w:t>
            </w:r>
          </w:p>
        </w:tc>
        <w:tc>
          <w:tcPr>
            <w:tcW w:type="dxa" w:w="2880"/>
          </w:tcPr>
          <w:p>
            <w:r>
              <w:t>Whether the employee left</w:t>
            </w:r>
          </w:p>
        </w:tc>
      </w:tr>
      <w:tr>
        <w:tc>
          <w:tcPr>
            <w:tcW w:type="dxa" w:w="2880"/>
          </w:tcPr>
          <w:p>
            <w:r>
              <w:t>promotion_last_5years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Promoted in the last 5 years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Department (10 categories)</w:t>
            </w:r>
          </w:p>
        </w:tc>
      </w:tr>
      <w:tr>
        <w:tc>
          <w:tcPr>
            <w:tcW w:type="dxa" w:w="2880"/>
          </w:tcPr>
          <w:p>
            <w:r>
              <w:t>salary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Salary level: low / medium / 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0"/>
          <w:sz w:val="40"/>
        </w:rPr>
        <w:t>2. Exploratory Data Analysis</w:t>
      </w:r>
    </w:p>
    <w:p>
      <w:pPr>
        <w:pStyle w:val="Heading2"/>
      </w:pPr>
      <w:r>
        <w:rPr>
          <w:color w:val="1F2D50"/>
        </w:rPr>
        <w:t>2.1 Correlation with Turnover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re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2"/>
        </w:rPr>
        <w:t>satisfaction_level has by far the strongest correlation with attrition (-0.39) — lower satisfaction is strongly linked to leaving. Work_accident (-0.15) and time_spend_company (+0.14) show weaker effects. Other numeric features (number_project, last_evaluation) show almost no direct linear correlation with leaving, hinting that the real relationships are non-linear.</w:t>
      </w:r>
    </w:p>
    <w:p>
      <w:pPr>
        <w:pStyle w:val="Heading2"/>
      </w:pPr>
      <w:r>
        <w:rPr>
          <w:color w:val="1F2D50"/>
        </w:rPr>
        <w:t>2.2 Workload vs. Turnover — a U-Shaped Relationship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ject_turn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D50"/>
          </w:tcPr>
          <w:p>
            <w:r/>
            <w:r>
              <w:rPr>
                <w:b/>
                <w:color w:val="FFFFFF"/>
              </w:rPr>
              <w:t>Projects</w:t>
            </w:r>
          </w:p>
        </w:tc>
        <w:tc>
          <w:tcPr>
            <w:tcW w:type="dxa" w:w="4320"/>
            <w:shd w:fill="1F2D50"/>
          </w:tcPr>
          <w:p>
            <w:r/>
            <w:r>
              <w:rPr>
                <w:b/>
                <w:color w:val="FFFFFF"/>
              </w:rPr>
              <w:t>Turnover Rate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65.6%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55.8%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r>
        <w:rPr>
          <w:b w:val="0"/>
          <w:i w:val="0"/>
          <w:sz w:val="22"/>
        </w:rPr>
        <w:t>Turnover is highest at BOTH extremes of workload: employees with only 2 projects (likely disengaged/underutilized) and employees with 6–7 projects (likely overloaded/burned out) leave at much higher rates. The lowest turnover (1.8%–9.4%) occurs at 3–4 projects — the optimal workload zone. This directly disproves the simplistic idea that “more projects always means more attrition.”</w:t>
      </w:r>
    </w:p>
    <w:p>
      <w:r>
        <w:br w:type="page"/>
      </w:r>
    </w:p>
    <w:p>
      <w:pPr>
        <w:pStyle w:val="Heading1"/>
      </w:pPr>
      <w:r>
        <w:rPr>
          <w:color w:val="1F2D50"/>
          <w:sz w:val="40"/>
        </w:rPr>
        <w:t>3. Clustering Employees Who Left</w:t>
      </w:r>
    </w:p>
    <w:p>
      <w:r>
        <w:rPr>
          <w:b w:val="0"/>
          <w:i w:val="0"/>
          <w:sz w:val="22"/>
        </w:rPr>
        <w:t>K-Means clustering (k=3) was applied to satisfaction_level and last_evaluation, restricted only to employees who left, to understand WHY different groups of people leave.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1539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539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D50"/>
          </w:tcPr>
          <w:p>
            <w:r/>
            <w:r>
              <w:rPr>
                <w:b/>
                <w:color w:val="FFFFFF"/>
              </w:rPr>
              <w:t>Cluster</w:t>
            </w:r>
          </w:p>
        </w:tc>
        <w:tc>
          <w:tcPr>
            <w:tcW w:type="dxa" w:w="1728"/>
            <w:shd w:fill="1F2D50"/>
          </w:tcPr>
          <w:p>
            <w:r/>
            <w:r>
              <w:rPr>
                <w:b/>
                <w:color w:val="FFFFFF"/>
              </w:rPr>
              <w:t>Avg. Satisfaction</w:t>
            </w:r>
          </w:p>
        </w:tc>
        <w:tc>
          <w:tcPr>
            <w:tcW w:type="dxa" w:w="1728"/>
            <w:shd w:fill="1F2D50"/>
          </w:tcPr>
          <w:p>
            <w:r/>
            <w:r>
              <w:rPr>
                <w:b/>
                <w:color w:val="FFFFFF"/>
              </w:rPr>
              <w:t>Avg. Evaluation</w:t>
            </w:r>
          </w:p>
        </w:tc>
        <w:tc>
          <w:tcPr>
            <w:tcW w:type="dxa" w:w="1728"/>
            <w:shd w:fill="1F2D50"/>
          </w:tcPr>
          <w:p>
            <w:r/>
            <w:r>
              <w:rPr>
                <w:b/>
                <w:color w:val="FFFFFF"/>
              </w:rPr>
              <w:t>Employees</w:t>
            </w:r>
          </w:p>
        </w:tc>
        <w:tc>
          <w:tcPr>
            <w:tcW w:type="dxa" w:w="1728"/>
            <w:shd w:fill="1F2D50"/>
          </w:tcPr>
          <w:p>
            <w:r/>
            <w:r>
              <w:rPr>
                <w:b/>
                <w:color w:val="FFFFFF"/>
              </w:rPr>
              <w:t>Profile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1,650</w:t>
            </w:r>
          </w:p>
        </w:tc>
        <w:tc>
          <w:tcPr>
            <w:tcW w:type="dxa" w:w="1728"/>
          </w:tcPr>
          <w:p>
            <w:r>
              <w:t>Poor performers, unhappy — expected/low-concern churn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977</w:t>
            </w:r>
          </w:p>
        </w:tc>
        <w:tc>
          <w:tcPr>
            <w:tcW w:type="dxa" w:w="1728"/>
          </w:tcPr>
          <w:p>
            <w:r>
              <w:t>Happy, high performers — likely poached / better offer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944</w:t>
            </w:r>
          </w:p>
        </w:tc>
        <w:tc>
          <w:tcPr>
            <w:tcW w:type="dxa" w:w="1728"/>
          </w:tcPr>
          <w:p>
            <w:r>
              <w:t>Miserable, high performers — likely burnout, most preventable</w:t>
            </w:r>
          </w:p>
        </w:tc>
      </w:tr>
    </w:tbl>
    <w:p>
      <w:r>
        <w:rPr>
          <w:b w:val="0"/>
          <w:i/>
          <w:sz w:val="22"/>
        </w:rPr>
        <w:t>Key insight: satisfaction and performance are NOT correlated among leavers. There are both a happy high-performer cluster and a miserable high-performer cluster — meaning high performance alone does not predict retention. This distinction matters directly for designing retention strategies (see Section 7).</w:t>
      </w:r>
    </w:p>
    <w:p>
      <w:r>
        <w:br w:type="page"/>
      </w:r>
    </w:p>
    <w:p>
      <w:pPr>
        <w:pStyle w:val="Heading1"/>
      </w:pPr>
      <w:r>
        <w:rPr>
          <w:color w:val="1F2D50"/>
          <w:sz w:val="40"/>
        </w:rPr>
        <w:t>4. Data Preparation for Modeling</w:t>
      </w:r>
    </w:p>
    <w:p>
      <w:pPr>
        <w:pStyle w:val="ListBullet"/>
      </w:pPr>
      <w:r>
        <w:t>Categorical columns (sales, salary) converted to numeric using one-hot encoding (pd.get_dummies, drop_first=True) — 8 numeric + 11 dummy columns = 19 total features.</w:t>
      </w:r>
    </w:p>
    <w:p>
      <w:pPr>
        <w:pStyle w:val="ListBullet"/>
      </w:pPr>
      <w:r>
        <w:t>Stratified 80:20 train/test split (random_state=123) — preserves the 76/24 class ratio in both sets.</w:t>
      </w:r>
    </w:p>
    <w:p>
      <w:pPr>
        <w:pStyle w:val="ListBullet"/>
      </w:pPr>
      <w:r>
        <w:t>Class imbalance in the training set corrected using SMOTE (Synthetic Minority Oversampling Technique) — balances the minority class (left=1) by generating synthetic samples, applied ONLY to the training data (never the test set, to avoid data leakage).</w:t>
      </w:r>
    </w:p>
    <w:p>
      <w:r>
        <w:br w:type="page"/>
      </w:r>
    </w:p>
    <w:p>
      <w:pPr>
        <w:pStyle w:val="Heading1"/>
      </w:pPr>
      <w:r>
        <w:rPr>
          <w:color w:val="1F2D50"/>
          <w:sz w:val="40"/>
        </w:rPr>
        <w:t>5. Model Building and Evaluation</w:t>
      </w:r>
    </w:p>
    <w:p>
      <w:r>
        <w:rPr>
          <w:b w:val="0"/>
          <w:i w:val="0"/>
          <w:sz w:val="22"/>
        </w:rPr>
        <w:t>Three classifiers were trained on the SMOTE-balanced training data and evaluated on the untouched, realistic (imbalanced) test set: Logistic Regression, Random Forest, and Gradient Boosting.</w:t>
      </w:r>
    </w:p>
    <w:p>
      <w:pPr>
        <w:pStyle w:val="Heading2"/>
      </w:pPr>
      <w:r>
        <w:rPr>
          <w:color w:val="1F2D50"/>
        </w:rPr>
        <w:t>5.1 ROC Curve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153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5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2D50"/>
        </w:rPr>
        <w:t>5.2 Performance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2D50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440"/>
            <w:shd w:fill="1F2D50"/>
          </w:tcPr>
          <w:p>
            <w:r/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440"/>
            <w:shd w:fill="1F2D50"/>
          </w:tcPr>
          <w:p>
            <w:r/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440"/>
            <w:shd w:fill="1F2D50"/>
          </w:tcPr>
          <w:p>
            <w:r/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440"/>
            <w:shd w:fill="1F2D50"/>
          </w:tcPr>
          <w:p>
            <w:r/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1440"/>
            <w:shd w:fill="1F2D50"/>
          </w:tcPr>
          <w:p>
            <w:r/>
            <w:r>
              <w:rPr>
                <w:b/>
                <w:color w:val="FFFFFF"/>
              </w:rPr>
              <w:t>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0.752</w:t>
            </w:r>
          </w:p>
        </w:tc>
        <w:tc>
          <w:tcPr>
            <w:tcW w:type="dxa" w:w="1440"/>
          </w:tcPr>
          <w:p>
            <w:r>
              <w:t>0.486</w:t>
            </w:r>
          </w:p>
        </w:tc>
        <w:tc>
          <w:tcPr>
            <w:tcW w:type="dxa" w:w="1440"/>
          </w:tcPr>
          <w:p>
            <w:r>
              <w:t>0.751</w:t>
            </w:r>
          </w:p>
        </w:tc>
        <w:tc>
          <w:tcPr>
            <w:tcW w:type="dxa" w:w="1440"/>
          </w:tcPr>
          <w:p>
            <w:r>
              <w:t>0.590</w:t>
            </w:r>
          </w:p>
        </w:tc>
        <w:tc>
          <w:tcPr>
            <w:tcW w:type="dxa" w:w="1440"/>
          </w:tcPr>
          <w:p>
            <w:r>
              <w:t>0.810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0.988</w:t>
            </w:r>
          </w:p>
        </w:tc>
        <w:tc>
          <w:tcPr>
            <w:tcW w:type="dxa" w:w="1440"/>
          </w:tcPr>
          <w:p>
            <w:r>
              <w:t>0.971</w:t>
            </w:r>
          </w:p>
        </w:tc>
        <w:tc>
          <w:tcPr>
            <w:tcW w:type="dxa" w:w="1440"/>
          </w:tcPr>
          <w:p>
            <w:r>
              <w:t>0.979</w:t>
            </w:r>
          </w:p>
        </w:tc>
        <w:tc>
          <w:tcPr>
            <w:tcW w:type="dxa" w:w="1440"/>
          </w:tcPr>
          <w:p>
            <w:r>
              <w:t>0.975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</w:tr>
      <w:tr>
        <w:tc>
          <w:tcPr>
            <w:tcW w:type="dxa" w:w="1440"/>
          </w:tcPr>
          <w:p>
            <w:r>
              <w:t>Gradient Boosting</w:t>
            </w:r>
          </w:p>
        </w:tc>
        <w:tc>
          <w:tcPr>
            <w:tcW w:type="dxa" w:w="1440"/>
          </w:tcPr>
          <w:p>
            <w:r>
              <w:t>0.963</w:t>
            </w:r>
          </w:p>
        </w:tc>
        <w:tc>
          <w:tcPr>
            <w:tcW w:type="dxa" w:w="1440"/>
          </w:tcPr>
          <w:p>
            <w:r>
              <w:t>0.911</w:t>
            </w:r>
          </w:p>
        </w:tc>
        <w:tc>
          <w:tcPr>
            <w:tcW w:type="dxa" w:w="1440"/>
          </w:tcPr>
          <w:p>
            <w:r>
              <w:t>0.937</w:t>
            </w:r>
          </w:p>
        </w:tc>
        <w:tc>
          <w:tcPr>
            <w:tcW w:type="dxa" w:w="1440"/>
          </w:tcPr>
          <w:p>
            <w:r>
              <w:t>0.924</w:t>
            </w:r>
          </w:p>
        </w:tc>
        <w:tc>
          <w:tcPr>
            <w:tcW w:type="dxa" w:w="1440"/>
          </w:tcPr>
          <w:p>
            <w:r>
              <w:t>0.985</w:t>
            </w:r>
          </w:p>
        </w:tc>
      </w:tr>
    </w:tbl>
    <w:p>
      <w:pPr>
        <w:pStyle w:val="Heading2"/>
      </w:pPr>
      <w:r>
        <w:rPr>
          <w:color w:val="1F2D50"/>
        </w:rPr>
        <w:t>5.3 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0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2D50"/>
        </w:rPr>
        <w:t>5.4 Why Recall Matters More Than Precision</w:t>
      </w:r>
    </w:p>
    <w:p>
      <w:r>
        <w:rPr>
          <w:b w:val="0"/>
          <w:i w:val="0"/>
          <w:sz w:val="22"/>
        </w:rPr>
        <w:t>In this problem, a False Negative (missing an employee who is actually about to leave) is far more costly than a False Positive (flagging a stayer as at-risk, resulting in an unnecessary check-in). Therefore Recall on the 'left' class is the metric that should be optimized, not Precision or raw Accuracy alone (accuracy is also misleading here due to class imbalance — a model predicting “stayed” for everyone would already score ~76%).</w:t>
      </w:r>
    </w:p>
    <w:p>
      <w:pPr>
        <w:pStyle w:val="Heading2"/>
      </w:pPr>
      <w:r>
        <w:rPr>
          <w:color w:val="1F2D50"/>
        </w:rPr>
        <w:t>5.5 Best Model: Random Forest</w:t>
      </w:r>
    </w:p>
    <w:p>
      <w:r>
        <w:rPr>
          <w:b w:val="0"/>
          <w:i w:val="0"/>
          <w:sz w:val="22"/>
        </w:rPr>
        <w:t>Random Forest wins on every metric — Accuracy, Precision, Recall, F1, and AUC — and has by far the fewest false negatives (15, vs. 178 for Logistic Regression and 45 for Gradient Boosting). It captures the non-linear patterns in this data (like the U-shaped workload effect and the two opposite high-performer clusters) that a linear model like Logistic Regression cannot.</w:t>
      </w:r>
    </w:p>
    <w:p>
      <w:r>
        <w:br w:type="page"/>
      </w:r>
    </w:p>
    <w:p>
      <w:pPr>
        <w:pStyle w:val="Heading1"/>
      </w:pPr>
      <w:r>
        <w:rPr>
          <w:color w:val="1F2D50"/>
          <w:sz w:val="40"/>
        </w:rPr>
        <w:t>6. Predicting Turnover Risk</w:t>
      </w:r>
    </w:p>
    <w:p>
      <w:r>
        <w:rPr>
          <w:b w:val="0"/>
          <w:i w:val="0"/>
          <w:sz w:val="22"/>
        </w:rPr>
        <w:t>Using the Random Forest model, every test-set employee is assigned a predicted probability of leaving, then segmented into four actionable risk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isk_z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D50"/>
          </w:tcPr>
          <w:p>
            <w:r/>
            <w:r>
              <w:rPr>
                <w:b/>
                <w:color w:val="FFFFFF"/>
              </w:rPr>
              <w:t>Zone</w:t>
            </w:r>
          </w:p>
        </w:tc>
        <w:tc>
          <w:tcPr>
            <w:tcW w:type="dxa" w:w="2880"/>
            <w:shd w:fill="1F2D50"/>
          </w:tcPr>
          <w:p>
            <w:r/>
            <w:r>
              <w:rPr>
                <w:b/>
                <w:color w:val="FFFFFF"/>
              </w:rPr>
              <w:t>Probability Range</w:t>
            </w:r>
          </w:p>
        </w:tc>
        <w:tc>
          <w:tcPr>
            <w:tcW w:type="dxa" w:w="2880"/>
            <w:shd w:fill="1F2D50"/>
          </w:tcPr>
          <w:p>
            <w:r/>
            <w:r>
              <w:rPr>
                <w:b/>
                <w:color w:val="FFFFFF"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Safe Zone (Green)</w:t>
            </w:r>
          </w:p>
        </w:tc>
        <w:tc>
          <w:tcPr>
            <w:tcW w:type="dxa" w:w="2880"/>
          </w:tcPr>
          <w:p>
            <w:r>
              <w:t>&lt; 20%</w:t>
            </w:r>
          </w:p>
        </w:tc>
        <w:tc>
          <w:tcPr>
            <w:tcW w:type="dxa" w:w="2880"/>
          </w:tcPr>
          <w:p>
            <w:r>
              <w:t>2,144</w:t>
            </w:r>
          </w:p>
        </w:tc>
      </w:tr>
      <w:tr>
        <w:tc>
          <w:tcPr>
            <w:tcW w:type="dxa" w:w="2880"/>
          </w:tcPr>
          <w:p>
            <w:r>
              <w:t>Low-Risk Zone (Yellow)</w:t>
            </w:r>
          </w:p>
        </w:tc>
        <w:tc>
          <w:tcPr>
            <w:tcW w:type="dxa" w:w="2880"/>
          </w:tcPr>
          <w:p>
            <w:r>
              <w:t>20% – 60%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Medium-Risk Zone (Orange)</w:t>
            </w:r>
          </w:p>
        </w:tc>
        <w:tc>
          <w:tcPr>
            <w:tcW w:type="dxa" w:w="2880"/>
          </w:tcPr>
          <w:p>
            <w:r>
              <w:t>60% – 90%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High-Risk Zone (Red)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  <w:tc>
          <w:tcPr>
            <w:tcW w:type="dxa" w:w="2880"/>
          </w:tcPr>
          <w:p>
            <w:r>
              <w:t>652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0"/>
          <w:sz w:val="40"/>
        </w:rPr>
        <w:t>7. Retention Strategy Recommendations</w:t>
      </w:r>
    </w:p>
    <w:p>
      <w:pPr>
        <w:pStyle w:val="Heading2"/>
      </w:pPr>
      <w:r>
        <w:rPr>
          <w:color w:val="2E7D32"/>
        </w:rPr>
        <w:t>Safe Zone (Green)</w:t>
      </w:r>
    </w:p>
    <w:p>
      <w:r>
        <w:rPr>
          <w:b w:val="0"/>
          <w:i w:val="0"/>
          <w:sz w:val="22"/>
        </w:rPr>
        <w:t>No action needed. Continue standard engagement: regular 1:1s, recognition, normal career development conversations.</w:t>
      </w:r>
    </w:p>
    <w:p>
      <w:pPr>
        <w:pStyle w:val="Heading2"/>
      </w:pPr>
      <w:r>
        <w:rPr>
          <w:color w:val="F9A825"/>
        </w:rPr>
        <w:t>Low-Risk Zone (Yellow)</w:t>
      </w:r>
    </w:p>
    <w:p>
      <w:r>
        <w:rPr>
          <w:b w:val="0"/>
          <w:i w:val="0"/>
          <w:sz w:val="22"/>
        </w:rPr>
        <w:t>Light-touch, proactive monitoring. Check in periodically on satisfaction and workload; watch for early warning signs such as rising average_montly_hours or stagnant number_project.</w:t>
      </w:r>
    </w:p>
    <w:p>
      <w:pPr>
        <w:pStyle w:val="Heading2"/>
      </w:pPr>
      <w:r>
        <w:rPr>
          <w:color w:val="E67E22"/>
        </w:rPr>
        <w:t>Medium-Risk Zone (Orange)</w:t>
      </w:r>
    </w:p>
    <w:p>
      <w:r>
        <w:rPr>
          <w:b w:val="0"/>
          <w:i w:val="0"/>
          <w:sz w:val="22"/>
        </w:rPr>
        <w:t>Direct manager intervention. Discuss workload balance explicitly (both very low and very high project counts drive attrition); review salary/promotion standing and recent evaluation feedback.</w:t>
      </w:r>
    </w:p>
    <w:p>
      <w:pPr>
        <w:pStyle w:val="Heading2"/>
      </w:pPr>
      <w:r>
        <w:rPr>
          <w:color w:val="C0392B"/>
        </w:rPr>
        <w:t>High-Risk Zone (Red)</w:t>
      </w:r>
    </w:p>
    <w:p>
      <w:r>
        <w:rPr>
          <w:b w:val="0"/>
          <w:i w:val="0"/>
          <w:sz w:val="22"/>
        </w:rPr>
        <w:t>Urgent, senior-level retention action — this is the largest at-risk group (652 employees). Immediate 1:1 with HR/leadership, consider salary revision or promotion, workload reassignment, or a counter-offer conversation.</w:t>
      </w:r>
    </w:p>
    <w:p>
      <w:pPr>
        <w:pStyle w:val="Heading2"/>
      </w:pPr>
      <w:r>
        <w:rPr>
          <w:color w:val="1F2D50"/>
        </w:rPr>
        <w:t>Tailoring by Root Cause (using the K-Means clusters)</w:t>
      </w:r>
    </w:p>
    <w:p>
      <w:pPr>
        <w:pStyle w:val="ListBullet"/>
      </w:pPr>
      <w:r>
        <w:t>Happy-but-left profile (high satisfaction + high evaluation): likely leaving for external opportunity — a promotion, raise, or expanded role may retain them.</w:t>
      </w:r>
    </w:p>
    <w:p>
      <w:pPr>
        <w:pStyle w:val="ListBullet"/>
      </w:pPr>
      <w:r>
        <w:t>Miserable-high-performer profile (low satisfaction + high evaluation): likely burnout-driven — reducing workload or project count is more relevant than a raise.</w:t>
      </w:r>
    </w:p>
    <w:p>
      <w:r>
        <w:rPr>
          <w:b w:val="0"/>
          <w:i/>
          <w:sz w:val="22"/>
        </w:rPr>
        <w:t>Applying the same retention offer to both groups would be inefficient — interventions should match the underlying reason for risk, not just the risk score.</w:t>
      </w:r>
    </w:p>
    <w:p>
      <w:r>
        <w:br w:type="page"/>
      </w:r>
    </w:p>
    <w:p>
      <w:pPr>
        <w:pStyle w:val="Heading1"/>
      </w:pPr>
      <w:r>
        <w:rPr>
          <w:color w:val="1F2D50"/>
          <w:sz w:val="40"/>
        </w:rPr>
        <w:t>8. Conclusion</w:t>
      </w:r>
    </w:p>
    <w:p>
      <w:pPr>
        <w:pStyle w:val="ListBullet"/>
      </w:pPr>
      <w:r>
        <w:t>Satisfaction level is the single strongest driver of attrition; workload (number_project) has a U-shaped, non-linear relationship with turnover.</w:t>
      </w:r>
    </w:p>
    <w:p>
      <w:pPr>
        <w:pStyle w:val="ListBullet"/>
      </w:pPr>
      <w:r>
        <w:t>Employees who leave fall into at least 3 distinct behavioral clusters, not one uniform group — retention strategy must differ by cluster.</w:t>
      </w:r>
    </w:p>
    <w:p>
      <w:pPr>
        <w:pStyle w:val="ListBullet"/>
      </w:pPr>
      <w:r>
        <w:t>Random Forest (Accuracy 98.8%, Recall 97.9%, AUC 0.995) is the recommended production model, clearly outperforming Logistic Regression and Gradient Boosting on every metric.</w:t>
      </w:r>
    </w:p>
    <w:p>
      <w:pPr>
        <w:pStyle w:val="ListBullet"/>
      </w:pPr>
      <w:r>
        <w:t>A 4-tier risk-zone framework (Green/Yellow/Orange/Red) converts model probabilities into a practical, actionable HR playbook.</w:t>
      </w:r>
    </w:p>
    <w:p>
      <w:pPr>
        <w:pStyle w:val="Heading2"/>
      </w:pPr>
      <w:r>
        <w:rPr>
          <w:color w:val="1F2D50"/>
        </w:rPr>
        <w:t>Next Steps</w:t>
      </w:r>
    </w:p>
    <w:p>
      <w:pPr>
        <w:pStyle w:val="ListBullet"/>
      </w:pPr>
      <w:r>
        <w:t>Deploy the Random Forest model to score active employees on a recurring basis (e.g. monthly).</w:t>
      </w:r>
    </w:p>
    <w:p>
      <w:pPr>
        <w:pStyle w:val="ListBullet"/>
      </w:pPr>
      <w:r>
        <w:t>Integrate risk-zone alerts into HR dashboards for proactive manager action.</w:t>
      </w:r>
    </w:p>
    <w:p>
      <w:pPr>
        <w:pStyle w:val="ListBullet"/>
      </w:pPr>
      <w:r>
        <w:t>Periodically retrain the model as new attrition data becomes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