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Architecture Document</w:t>
      </w:r>
    </w:p>
    <w:p>
      <w:r>
        <w:t>This is the main introduction with CANARY_DOCX_PARAGRAPH_ALPHA.</w:t>
      </w:r>
    </w:p>
    <w:p>
      <w:r>
        <w:t>Technical specifications continue here with CANARY_DOCX_PARAGRAPH_BETA.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Throughput</w:t>
            </w:r>
          </w:p>
        </w:tc>
        <w:tc>
          <w:tcPr>
            <w:tcW w:type="dxa" w:w="2880"/>
          </w:tcPr>
          <w:p>
            <w:r>
              <w:t>CANARY_DOCX_TABLE_METRIC_ROW1</w:t>
            </w:r>
          </w:p>
        </w:tc>
      </w:tr>
      <w:tr>
        <w:tc>
          <w:tcPr>
            <w:tcW w:type="dxa" w:w="2880"/>
          </w:tcPr>
          <w:p>
            <w:r>
              <w:t>Cache</w:t>
            </w:r>
          </w:p>
        </w:tc>
        <w:tc>
          <w:tcPr>
            <w:tcW w:type="dxa" w:w="2880"/>
          </w:tcPr>
          <w:p>
            <w:r>
              <w:t>Latency</w:t>
            </w:r>
          </w:p>
        </w:tc>
        <w:tc>
          <w:tcPr>
            <w:tcW w:type="dxa" w:w="2880"/>
          </w:tcPr>
          <w:p>
            <w:r>
              <w:t>CANARY_DOCX_TABLE_METRIC_ROW2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r>
        <w:drawing>
          <w:txbxContent>
            <w:p>
              <w:r>
                <w:t>Architecture Callout Note: CANARY_DOCX_TEXTBOX_CALLOUT</w:t>
              </w:r>
            </w:p>
          </w:txbxContent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Internal Use Only | CANARY_DOCX_FOOTER_SEC1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Official Report | CANARY_DOCX_HEADER_SEC1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