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Standards Knowledge Base for RAG – Green Compute MRV</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rapid expansion of the digital economy has positioned Green Compute workloads as a focal point for global decarbonization efforts. As data centers and high-performance computing clusters consume increasing shares of the global energy supply, the requirement for a rigorous, machine-addressable knowledge base to interpret Monitoring, Reporting, and Verification (MRV) outputs has become critical. This report serves as a structured knowledge repository designed for Retrieval-Augmented Generation (RAG) systems, enabling the automated evaluation of Green Compute energy usage and carbon claims against five foundational sustainability standards. By distilling the technical requirements of the GHG Protocol, ISO 14064-1, India’s Carbon Credit Trading Scheme (CCTS), the Gold Standard for the Global Goals, and the Verra Verified Carbon Standard (VCS), this framework provides the logical architecture necessary for clause-level retrieval and automated alignment assessment.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GHG Protocol – Scope 2 Guidance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GHG Protocol Scope 2 Guidance functions as the global benchmark for how corporations account for emissions from purchased electricity, which constitutes the vast majority of the carbon footprint for Green Compute workloads.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standard is currently undergoing a significant revision process (2024–2025) to address the increasing sophistication of energy markets and the limitations of annual matching.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Versioning and Governance Metadata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Metadata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Latest Version /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2015 (Major updates proposed for 2025-2026)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Issuing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World Resources Institute (WRI) &amp; World Business Council for Sustainable Development (WBCSD)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Update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Periodic; major revisions currently in Phase 1 stakeholder consultation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Global; adopted by voluntary and mandatory reporting programs worldwide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URL / Source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hyperlink r:id="rId6">
              <w:r w:rsidDel="00000000" w:rsidR="00000000" w:rsidRPr="00000000">
                <w:rPr>
                  <w:rFonts w:ascii="Google Sans Text" w:cs="Google Sans Text" w:eastAsia="Google Sans Text" w:hAnsi="Google Sans Text"/>
                  <w:color w:val="0b57d0"/>
                  <w:u w:val="single"/>
                  <w:shd w:fill="auto" w:val="clear"/>
                  <w:rtl w:val="0"/>
                </w:rPr>
                <w:t xml:space="preserve">https://ghgprotocol.org/scope-2-guidance</w:t>
              </w:r>
            </w:hyperlink>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Objectives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objective of the Scope 2 Guidance is to ensure that companies provide a faithful, true, and fair account of the emissions associated with their electricity consumption.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standard seeks to achieve this through dual reporting, which mandates the disclosure of both a location-based and a market-based total.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location-based method ensures transparency regarding the physical carbon intensity of the grid where a data center is located, while the market-based method captures the impact of a company's procurement decisions, such as the purchase of Renewable Energy Certificates (RECs) or Power Purchase Agreements (PPAs).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enforcing a set of eight Quality Criteria, the standard aims to maintain the integrity of the market-based method, preventing double counting and ensuring that contractual instruments represent actual generation.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Relevant Clauses for Green Compute and Digital Energy Use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context of Green Compute, the interpretation of energy use is governed by specific requirements regarding boundaries and emission factor hierarchies.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standard requires dual reporting for any organization operating in a market where product- or supplier-specific data is available (Chapter 7).</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For data center operators and cloud service providers, the determination of operational control is a central principle. Under the Operational Control approach (Appendix F), the entity with the authority to introduce and implement operating policies is responsible for reporting electricity as Scope 2.</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In colocation environments, where a landlord may purchase electricity for multiple tenants, the standard clarifies that if a tenant has operational control over their specific equipment, the electricity should be classified as Scope 2 for the tenant and potentially Scope 3 for the landlord.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hierarchy of emission factors is another critical clause. For the location-based method, organizations must prioritize the most geographically specific and time-precise data available.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For the market-based method, the standard identifies a hierarchy of contractual instruments, including energy attribute certificates (EACs), supplier-specific emission rates, and residual mix factors.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Crucially, the standard emphasizes that avoided emissions from renewable energy purchases should be treated as an additional disclosure rather than a reduction of the Scope 2 total itself.</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current standard is evolving toward more granular temporal and spatial requirements. Proposed updates in the 2024–2025 revision cycle include a shift toward hourly matching of generation and load, as well as stricter deliverability requirements, which mandate that renewable generation must be physically deliverable to the grid system where the consumption occurs.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Evidence Types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MRV evidence required for GHG Protocol compliance is centered on the verification of energy activity and the integrity of contractual instruments.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Evidence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Activity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Metered electricity consumption data; hourly logs for advanced reporting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Grid Emission Factors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Regional or national grid average factors (e.g., eGRID for US, CEA for India)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Contractual Instruments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Serialized RECs, GOs, I-RECs, or PPA contracts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Quality Criteria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Documented evidence that each instrument meets the 8 Quality Criteria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Residual Mix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Emission factors that account for grid attributes after certificates are retired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Verification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Third-party verification of the inventory and the validity of instruments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Rules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RAG system interpreting Green Compute MRV outputs, several fundamental logic rules must be applied: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Baseline Recalculation Rule dictates that if a company acquires or divests a significant compute facility, the base-year inventory must be recalculated using both reporting methods to ensure comparability.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Gross Purchase Rule requires that compute facilities with on-site generation must report total (gross) electricity purchases from the grid rather than "netting" the purchases with on-site generation, unless net-metering data is the only available record.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Conservative Factor Rule states that in the absence of a verified residual mix emission factor, the reporter must use the grid average factor as a proxy, though recent guidance suggests move toward an even more conservative fossil-only factor if no data is available.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Finally, the Data Center Estimations Rule allows tenants who cannot obtain direct utility bills to estimate usage based on server nameplate power and facility Power Usage Effectiveness (PUE), but such estimations must be disclosed and justified.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Conditions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Alignment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Condition for MRV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Complete disclosure of both location-based and market-based totals; all market instruments meet 8 Quality Criteria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Partially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Only location-based total reported in markets where contractual instruments exist; or missing disclosure of instrument categories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 of market-based instruments that do not meet the 8 Quality Criteria; or "netting" Scope 2 with offsets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Sourcing RECs from a different market boundary than the point of consumption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14064-1:2018 – Organizational GHG Reporting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ISO 14064-1:2018 provides an internationally standardized, program-neutral framework for the quantification and reporting of greenhouse gas emissions at the organizational level.</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It emphasizes the principles of relevance, completeness, consistency, accuracy, and transparency, ensuring that GHG inventories are credible for both internal strategy and external auditing.</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Versioning and Governance Metadata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Metadata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Latest Version /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2018 (Second Edition)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Issuing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International Organization for Standardization (ISO)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Update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Periodic, typically every 5–10 years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Global; compatible with all major GHG programs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URL / Source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hyperlink r:id="rId7">
              <w:r w:rsidDel="00000000" w:rsidR="00000000" w:rsidRPr="00000000">
                <w:rPr>
                  <w:rFonts w:ascii="Google Sans Text" w:cs="Google Sans Text" w:eastAsia="Google Sans Text" w:hAnsi="Google Sans Text"/>
                  <w:color w:val="0b57d0"/>
                  <w:u w:val="single"/>
                  <w:shd w:fill="auto" w:val="clear"/>
                  <w:rtl w:val="0"/>
                </w:rPr>
                <w:t xml:space="preserve">https://www.iso.org/standard/66453.html</w:t>
              </w:r>
            </w:hyperlink>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Objectives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central mission of ISO 14064-1 is to enhance the environmental integrity of GHG quantification by providing a rigorous technical framework that organizations can use to track performance and progress in emission reductions.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For Green Compute, the standard focuses on ensuring that all significant indirect emissions are identified and categorized accurately.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It aims to facilitate the development of GHG management strategies by providing a structure for identifying emission reduction opportunities through improved energy efficiency and resource optimization.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Furthermore, the standard supports regulatory compliance by aligning with frameworks like the EU CSRD and California SB-253, which require high levels of data assurance.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Relevant Clauses for Green Compute and Digital Energy Use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ISO 14064-1:2018 introduces a shift from "scopes" to "categories," which provides a more nuanced view of indirect emissions relevant to the compute value chain.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Identification of Boundaries (Clause 5.1) is the foundational requirement, where organizations must define their reporting boundary using either financial or operational control.</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is critical for data center operators who must determine if the electricity used by tenants is their direct responsibility or a value-chain emission. Category 2 (Clause 5.2.2) explicitly covers indirect GHG emissions from imported energy, including purchased electricity, heat, steam, or cooling—the core components of any data center operation.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Significant Emissions Clause requires organizations to define and explain their own criteria for determining which indirect emissions are significant.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For Green Compute, this means that even if a small cloud footprint exists, it may be deemed significant if it represents a high percentage of the organization's growth or digital transformation strategy.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Significance is often determined by magnitude (e.g., any source </w:t>
      </w:r>
      <w:r w:rsidDel="00000000" w:rsidR="00000000" w:rsidRPr="00000000">
        <w:rPr>
          <w:rFonts w:ascii="Google Sans Text" w:cs="Google Sans Text" w:eastAsia="Google Sans Text" w:hAnsi="Google Sans Text"/>
          <w:color w:val="1f1f1f"/>
        </w:rPr>
        <w:drawing>
          <wp:inline distB="19050" distT="19050" distL="19050" distR="19050">
            <wp:extent cx="440531" cy="22026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0531" cy="2202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of total emissions) or the organization's level of influence over the source.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Quantification Requirements (Clause 6.4.1) mandate the selection and use of quantification approaches that result in accurate and consistent findings.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involves the use of activity data (kWh) and emission factors (</w:t>
      </w:r>
      <w:r w:rsidDel="00000000" w:rsidR="00000000" w:rsidRPr="00000000">
        <w:rPr>
          <w:rFonts w:ascii="Google Sans Text" w:cs="Google Sans Text" w:eastAsia="Google Sans Text" w:hAnsi="Google Sans Text"/>
          <w:color w:val="1f1f1f"/>
        </w:rPr>
        <w:drawing>
          <wp:inline distB="19050" distT="19050" distL="19050" distR="19050">
            <wp:extent cx="980780" cy="228531"/>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80780" cy="22853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from recognized sources.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standard also introduces requirements for the treatment of biogenic carbon and the separate reporting of different GHG species, such as methane (</w:t>
      </w:r>
      <w:r w:rsidDel="00000000" w:rsidR="00000000" w:rsidRPr="00000000">
        <w:rPr>
          <w:rFonts w:ascii="Google Sans Text" w:cs="Google Sans Text" w:eastAsia="Google Sans Text" w:hAnsi="Google Sans Text"/>
          <w:color w:val="1f1f1f"/>
        </w:rPr>
        <w:drawing>
          <wp:inline distB="19050" distT="19050" distL="19050" distR="19050">
            <wp:extent cx="371922" cy="22887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71922" cy="22887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nitrous oxide (</w:t>
      </w:r>
      <w:r w:rsidDel="00000000" w:rsidR="00000000" w:rsidRPr="00000000">
        <w:rPr>
          <w:rFonts w:ascii="Google Sans Text" w:cs="Google Sans Text" w:eastAsia="Google Sans Text" w:hAnsi="Google Sans Text"/>
          <w:color w:val="1f1f1f"/>
        </w:rPr>
        <w:drawing>
          <wp:inline distB="19050" distT="19050" distL="19050" distR="19050">
            <wp:extent cx="367606" cy="226219"/>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7606" cy="22621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which are often omitted in simplified energy reports.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Evidence Types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ISO 14064-1 requires a high degree of transparency in the data used to construct the GHG inventory.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Evidence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Organizational Boundary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Proof of ownership or operational control over data center assets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Energy Invoices / Smart 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Auditable records of electricity, cooling, and heat consumption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Emission Factor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Documentation of the methodology used to select factors (e.g., IPCC, National Inventory)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Significance 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Written policy for identifying significant indirect sources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Uncertainty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Quantitative assessment of the data quality and measurement gaps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Management System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Documentation of the GHG information management system and its controls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Rules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Interpretation Rules for ISO 14064-1 emphasize consistency and traceability over time.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Consistency of Quantification Rule requires that the same quantification method be used for the base year and the current year unless a significant change in methodology is justified.</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Category 2 Rule dictates that all purchased electricity, regardless of its "green" status, must be quantified using location-based grid factors, while market-based choices are reported as a secondary metric or through the disclosure of specific contractual instruments.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Exclusions Disclosure Rule mandates that if any emission source within the reporting boundary is excluded (e.g., a backup generator at a remote compute edge site), the organization must explain why its exclusion is not material to the overall inventory.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Finally, the Traceability Rule requires that all data points in the report must be traceable back to original source documents, such as meter logs or financial statements, to ensure they can be verified against ISO 14064-3.</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Conditions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Alignment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Condition for MRV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Complete inventory covering Categories 1 and 2; significance criteria defined; third-party verification performed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Partially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Inventory covers direct emissions but omits significant Category 2 (Purchased Energy) sources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Partially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Reporting period is inconsistent or lacks clear disclosure of data sources and uncertainties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Organizational boundaries are poorly defined, leading to potential double counting or omission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 Carbon Credit Trading Scheme (CCTS)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India Carbon Credit Trading Scheme (CCTS) is a regulatory framework established to operationalize a domestic carbon market in India.</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It transitions India’s energy efficiency legacy—the Perform, Achieve and Trade (PAT) scheme—into a comprehensive GHG intensity-based baseline-and-credit system.</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Versioning and Governance Metadata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Metadata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Latest Version /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2023 (Framework Notification), 2024-2025 (Compliance &amp; Offset Procedures)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Issuing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Bureau of Energy Efficiency (BEE) as Administrator; National Steering Committee for ICM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Update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Annual compliance cycles; multi-year trajectory periods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India (Domestic Carbon Market)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URL / Source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hyperlink r:id="rId12">
              <w:r w:rsidDel="00000000" w:rsidR="00000000" w:rsidRPr="00000000">
                <w:rPr>
                  <w:rFonts w:ascii="Google Sans Text" w:cs="Google Sans Text" w:eastAsia="Google Sans Text" w:hAnsi="Google Sans Text"/>
                  <w:color w:val="0b57d0"/>
                  <w:u w:val="single"/>
                  <w:shd w:fill="auto" w:val="clear"/>
                  <w:rtl w:val="0"/>
                </w:rPr>
                <w:t xml:space="preserve">https://www.beeindia.gov.in/carbon-market.php</w:t>
              </w:r>
            </w:hyperlink>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Objectives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fundamental objective of the CCTS is to decarbonize India’s high-emitting sectors while supporting the national goal of a 45% reduction in GHG emission intensity by 2030.</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By introducing a market-based incentive, the scheme seeks to make "clean" companies more profitable by allowing them to earn tradable Carbon Credit Certificates (CCCs) for over-achieving their emission targets.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Conversely, it penalizes under-performers by requiring them to purchase credits from the market.</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 scheme aims to create a robust, internationally credible Monitoring, Reporting, and Verification (MRV) framework that aligns with UNFCCC Article 6 and provides a price signal for low-carbon technologies like green hydrogen and renewable energy with storage.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Relevant Clauses for Green Compute and Digital Energy Use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CCTS is divided into a Compliance Mechanism for obligated entities and an Offset Mechanism for voluntary participation.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GHG Emission Intensity (GEI) Clause (Section 4.3) defines the compliance metric as tonnes of carbon dioxide equivalent per unit of product (</w:t>
      </w:r>
      <w:r w:rsidDel="00000000" w:rsidR="00000000" w:rsidRPr="00000000">
        <w:rPr>
          <w:rFonts w:ascii="Google Sans Text" w:cs="Google Sans Text" w:eastAsia="Google Sans Text" w:hAnsi="Google Sans Text"/>
          <w:color w:val="1f1f1f"/>
        </w:rPr>
        <w:drawing>
          <wp:inline distB="19050" distT="19050" distL="19050" distR="19050">
            <wp:extent cx="950863" cy="228207"/>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50863" cy="22820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For data centers, while they may currently fall under the Offset Mechanism, the MRV rules require a "Gate-to-Gate" boundary approach, covering all Scope 1 and Scope 2 emissions within the facility.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Electricity and Heat Quantification Clause (BEE Detailed Procedure) mandates that purchased electricity be calculated using the latest national average grid emission factors from the Central Electricity Authority (CEA).</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For Green Compute facilities with dedicated Power Purchase Agreements (PPAs), the standard requires supplier-specific emission factors; if unavailable, a default "high-intensity" factor of </w:t>
      </w:r>
      <w:r w:rsidDel="00000000" w:rsidR="00000000" w:rsidRPr="00000000">
        <w:rPr>
          <w:rFonts w:ascii="Google Sans Text" w:cs="Google Sans Text" w:eastAsia="Google Sans Text" w:hAnsi="Google Sans Text"/>
          <w:color w:val="1f1f1f"/>
        </w:rPr>
        <w:drawing>
          <wp:inline distB="19050" distT="19050" distL="19050" distR="19050">
            <wp:extent cx="1371895" cy="228649"/>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71895" cy="22864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applied, creating a strong regulatory incentive for accurate supplier reporting.</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Offset Mechanism Clause (Section 4.4) allows non-obligated sectors—including potentially the IT and electronics industry—to register projects for GHG reduction and receive CCCs.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This mechanism specifically identifies energy efficiency improvements and renewable energy integration as eligible project types in Phase 1.</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Evidence Types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CCTS requires evidence that is strictly audit-ready and verified by Accredited Carbon Verification Agencies (ACVA).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Evidence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Gate-to-Gate Boundary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Technical diagram of all emission points and production lines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Activity Data (Form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Verified logs of fuel, electricity, and product output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Lab Analysis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NABL-accredited test reports for fuel calorific values (Type II data)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GEI Calculation Sheets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Standardized BEE templates for calculating intensity relative to baseline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ACVA Audit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Verified report submitted within 4 months of the financial year close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CCC Registry Account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Evidence of valid account on the ICM Registry for credit tracking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Rules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logic for CCTS MRV interpretation is centered on the comparison between achieved and target intensity.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GEI Achievement Rule dictates that CCCs are only issued if the Achieved GEI is lower than the Target GEI. The formula for issuance is: </w:t>
      </w:r>
      <w:r w:rsidDel="00000000" w:rsidR="00000000" w:rsidRPr="00000000">
        <w:rPr>
          <w:rFonts w:ascii="Google Sans Text" w:cs="Google Sans Text" w:eastAsia="Google Sans Text" w:hAnsi="Google Sans Text"/>
          <w:color w:val="1f1f1f"/>
        </w:rPr>
        <w:drawing>
          <wp:inline distB="19050" distT="19050" distL="19050" distR="19050">
            <wp:extent cx="4228652" cy="228576"/>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228652" cy="22857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The Baseline Consistency Rule establishes that the fiscal year 2023-24 serves as the reference point for all initial trajectory periods, and any deviation from this baseline must be approved by the BEE.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Type II Data Priority Rule mandates that for solid and gaseous fuels, site-specific sampling and analysis must be used unless the cost of such analysis is documented as "unreasonable," in which case Type I default factors may be used.</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Finally, the Non-Compliance Penalty Rule states that any entity failing to surrender the required number of CCCs by the end of a compliance cycle will face financial penalties under the Energy Conservation Act.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Conditions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Alignment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Condition for MRV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Submission of an ACVA-verified report; GEI targets met; all Type II fuel data supported by NABL certificates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Achievement of intensity targets resulting in the issuance of CCCs on the ICM registry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Partially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GEI targets met but report not verified by an accredited ACVA or submitted past the 4-month deadline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Failure to meet GEI targets without purchasing/surrendering the required number of CCCs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bl>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 Standard for the Global Goals (GS4GG)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Gold Standard for the Global Goals (GS4GG) is a high-ambition standard designed to maximize the climate and development impact of sustainability interventions.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It is widely recognized for its rigorous additionality requirements and its mandatory contribution to multiple Sustainable Development Goals (SDGs).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Versioning and Governance Metadata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Metadata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Latest Version /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Principles &amp; Requirements v1.0 (Jan 2025 Update)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Issuing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Gold Standard Foundation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Update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Continuous; major methodology updates released annually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Global (Voluntary and Paris-aligned carbon markets)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URL / Source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hyperlink r:id="rId16">
              <w:r w:rsidDel="00000000" w:rsidR="00000000" w:rsidRPr="00000000">
                <w:rPr>
                  <w:rFonts w:ascii="Google Sans Text" w:cs="Google Sans Text" w:eastAsia="Google Sans Text" w:hAnsi="Google Sans Text"/>
                  <w:color w:val="0b57d0"/>
                  <w:u w:val="single"/>
                  <w:shd w:fill="auto" w:val="clear"/>
                  <w:rtl w:val="0"/>
                </w:rPr>
                <w:t xml:space="preserve">https://globalgoals.goldstandard.org/all-standards/</w:t>
              </w:r>
            </w:hyperlink>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bl>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Objectives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objective of GS4GG is to ensure that carbon credits represent real, additional, and permanent emission reductions that also contribute to sustainable development.</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The standard aims to mobilize finance toward the 2030 Agenda by providing financial-grade data to investors on a project's impact across multiple SDGs.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For the digital and energy sectors, GS4GG intends to bring trust to renewable energy markets through its Renewable Energy Label, ensuring that corporate energy purchases make a demonstrable contribution to the global transition.</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It also seeks to de-risk investments in high-impact but higher-risk interventions, especially in least-developed countries (LDCs).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Relevant Clauses for Green Compute and Digital Energy Use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GS4GG includes specific requirements for energy efficiency and renewable energy projects.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Renewable Energy Activity Requirement (v1.4) mandates that projects must generate energy from non-fossil and renewable sources, such as solar PV, wind, or tidal energy.</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Projects generating on-site energy for captive consumption (e.g., a green data center with on-site solar) are eligible if they meet the specific requirements for common practice and technology penetration.</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Crucially, projects in High-Income countries are generally ineligible for carbon credits unless the technology penetration is below 5% of total grid capacity.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Additionality Principle (Principle 5) requires project developers to submit a detailed Investment Analysis to prove that the project is not the "common practice" and would not have been financially viable without the carbon credit revenue.</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For compute-related energy efficiency, the standard requires the use of Tool 5 (Downward Adjustment Factor) to ensure that baselines are ambitious and aligned with the Paris Agreement's net-zero trajectory.</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Multi-SDG Requirement mandates that every project must contribute to SDG 13 (Climate Action) plus at least two other SDGs.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For Green Compute, this might include SDG 7 (Affordable and Clean Energy) and SDG 9 (Industry, Innovation, and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Evidence Types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GS4GG requires a comprehensive set of evidence that goes beyond carbon quantification.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Evidence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Investment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Proof of financial additionality following CDM methodological tools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Stakeholder Engagement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Documentation of consultations with local communities and beneficiaries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SDG Impact Tool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Quantified metrics for at least three SDGs, verified by a GS-VVB </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HCV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Assessment of High Conservation Value areas for energy projects (e.g., large hydro)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DAF 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Application of the Downward Adjustment Factor to the project baseline </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BMS / EMS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Continuous monitoring data from Building or Energy Management Systems </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bl>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Rules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Interpretation Rules for GS4GG emphasize the "Paris-alignment" of projects.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DAF Baseline Rule requires that the project baseline be adjusted downwards over time to reflect the necessary transition toward net zero, meaning that credits are only issued for reductions that exceed this increasingly stringent reference point.</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The No-Double-Issuance Rule strictly prohibits a project from issuing both a Verified Emission Reduction (GSVER) and a Renewable Energy Label for the same MWh of generation.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Suppressed Demand Rule allows certain energy projects in developing regions to use a baseline that accounts for a "suppressed" need for energy services, but this prohibits "stacking" of other credits if the baseline definitions become contradictory.</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Finally, the 5-Year Renewal Rule mandates that all projects undergo a mandatory Design Certification Renewal every 5 years to ensure the baseline remains relevant to current grid and market conditions.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Conditions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Alignment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Condition for MRV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Project contributes to 3+ SDGs; baseline uses DAF; additionality proven via investment analysis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 of digital MRV (dMRV) solutions to automate data collection and ensure transparency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Partially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Carbon impact is verified, but co-benefits for two additional SDGs are not quantified or audited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Project is located in a High-Income country and does not meet the technology penetration exception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Same MWh is being used to claim both an offset credit and a renewable energy label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bl>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Verra Verified Carbon Standard (VCS)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Verra Verified Carbon Standard (VCS) is the world’s most widely used voluntary GHG crediting program, providing a robust framework for projects to turn their emission reductions into tradable Verified Carbon Units (VCUs).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Versioning and Governance Metadata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Metadata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Latest Version /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VCS Standard v4.7 (2024), v5.0 (Issued Dec 2025) </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Issuing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Verra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Update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frequent updates to specific methodologies and program rules </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Global; primary standard for the voluntary carbon market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URL / Source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hyperlink r:id="rId17">
              <w:r w:rsidDel="00000000" w:rsidR="00000000" w:rsidRPr="00000000">
                <w:rPr>
                  <w:rFonts w:ascii="Google Sans Text" w:cs="Google Sans Text" w:eastAsia="Google Sans Text" w:hAnsi="Google Sans Text"/>
                  <w:color w:val="0b57d0"/>
                  <w:u w:val="single"/>
                  <w:shd w:fill="auto" w:val="clear"/>
                  <w:rtl w:val="0"/>
                </w:rPr>
                <w:t xml:space="preserve">https://verra.org/program-methodology/vcs-program-standard/</w:t>
              </w:r>
            </w:hyperlink>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r>
    </w:tbl>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Objectives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fundamental mission of the VCS Program is to set the world’s leading standards for climate action by certifying that projects achieve measurable, high-integrity outcomes.</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It seeks to empower project developers to advance effective, scalable solutions—such as renewable energy and energy efficiency—to mitigate the impacts of climate change.</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The program ensures that all issued VCUs are additional, durable, independently verified, traceable, and robustly quantified.</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For the energy sector, the VCS aims to provide a science-based quantification methodology that accelerates the energy transition and the decarbonization of hard-to-abate industries.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Relevant Clauses for Green Compute and Digital Energy Use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VCS Program organizes activities into sectoral scopes, with several being directly relevant to digital energy use.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Sectoral Scope 1 (Energy - Renewable/Non-renewable) covers grid-connected and captive renewable energy generation.</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Sectoral Scope 3 (Energy Demand) is critical for Green Compute efficiency projects, as it encompasses activities that reduce the energy required to deliver a specific service (e.g., cooling efficiency in a data center).</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Methodology Applicability Clause (Section 3.12) requires that project developers first determine the appropriate methodology by ensuring they meet all applicability conditions.</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Projects may use active VCS methodologies (e.g., VM0001 for industrial gas leak detection) or approved Clean Development Mechanism (CDM) methodologies (e.g., ACM0002 for grid electricity generation).</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Non-Permanence Risk Clause (Section 3.2) is a defining feature of VCS, requiring projects to contribute to a buffer pool (typically a 12% minimum deduction) to safeguard against potential future reversals of emission reductions.</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While energy efficiency is typically permanent, the buffer pool is a mandatory requirement for maintaining the standard’s overall integrity.</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Evidence Types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Verra’s MRV process is characterized by a two-stage independent auditing cycle: validation and verification.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Evidence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 Description (PD)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Detailed plan covering boundaries, baseline, and additionality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Monitoring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Procedures for continuous data collection as specified in the methodology </w:t>
            </w: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Validation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Audit by a VVB confirming that the project plan meets VCS rules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Verification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Audit by a VVB confirming that proposed outcomes were achieved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VVB Accreditation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Verification that the auditor is accredited for the specific sectoral scope (e.g., Group 1 Energy) </w:t>
            </w: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 Comment 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Documentation of the 30-day public consultation and the developer's responses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bl>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Rules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Interpretation Rules for VCS prioritize technical rigor and leakage prevention.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Methodology Specificity Rule mandates that projects must follow the exact procedures listed in their chosen methodology for defining boundaries and quantifying reductions; any deviation requires a formal "Methodology Deviation" request and approval from Verra.</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The Conservativeness Rule requires that when multiple baseline scenarios are plausible, the most conservative one—the one resulting in the fewest credits—must be selected.</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Leakage Assessment Rule requires that projects evaluate whether their activities lead to an increase in emissions outside the project boundary (e.g., shifting compute load to a more carbon-intensive grid); any such leakage must be quantified and deducted from the total VCU issuance.</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Finally, the Unique Serial Number Rule ensures that every VCU is traceable in the public Verra Registry, preventing the reuse or double-counting of a single tonne of carbon.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Conditions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Alignment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Condition for MRV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Methodology followed verbatim; VCU issued after independent verification; additionality proven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Project successfully completed the 30-day public comment period and addressed all stakeholder concerns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Partially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Project plan validated but first verification not yet performed, meaning no VCUs can be issued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Project activity is on the "Excluded Activities" list in Table 1 of the VCS Standard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 of an outdated or inactive methodology without an approved transition plan </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r>
    </w:tbl>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Cross-Standard Synthesis and Knowledge Base Integration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 RAG system to effectively interpret Green Compute MRV data, it must synthesize these standards into a unified logic. The GHG Protocol provides the essential reporting boundary (Operational Control) and the mandatory dual-reporting method for Scope 2 emissions.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ISO 14064-1 supplements this by providing a framework for "Fair Account" and the categorization of value-chain emissions (Categories 3-6) that are often missed in basic energy reports.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Indian context, the CCTS provides the regulatory "floor," where intensity-based targets (</w:t>
      </w:r>
      <w:r w:rsidDel="00000000" w:rsidR="00000000" w:rsidRPr="00000000">
        <w:rPr>
          <w:rFonts w:ascii="Google Sans Text" w:cs="Google Sans Text" w:eastAsia="Google Sans Text" w:hAnsi="Google Sans Text"/>
          <w:color w:val="1f1f1f"/>
        </w:rPr>
        <w:drawing>
          <wp:inline distB="19050" distT="19050" distL="19050" distR="19050">
            <wp:extent cx="950863" cy="228207"/>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50863" cy="22820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are legally binding for large entities and provide a blueprint for facility-level (Gate-to-Gate) monitoring.</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Voluntary standards like GS4GG and VCS then layer on "additionality" and "permanence," allowing compute facilities to monetize their extra decarbonization efforts through high-integrity credits.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emergence of </w:t>
      </w:r>
      <w:r w:rsidDel="00000000" w:rsidR="00000000" w:rsidRPr="00000000">
        <w:rPr>
          <w:rFonts w:ascii="Google Sans Text" w:cs="Google Sans Text" w:eastAsia="Google Sans Text" w:hAnsi="Google Sans Text"/>
          <w:b w:val="1"/>
          <w:bCs w:val="1"/>
          <w:color w:val="1f1f1f"/>
          <w:rtl w:val="0"/>
        </w:rPr>
        <w:t xml:space="preserve">Digital MRV (dMRV)</w:t>
      </w:r>
      <w:r w:rsidDel="00000000" w:rsidR="00000000" w:rsidRPr="00000000">
        <w:rPr>
          <w:rFonts w:ascii="Google Sans Text" w:cs="Google Sans Text" w:eastAsia="Google Sans Text" w:hAnsi="Google Sans Text"/>
          <w:color w:val="1f1f1f"/>
          <w:rtl w:val="0"/>
        </w:rPr>
        <w:t xml:space="preserve"> is a common thread across all five standards.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By integrating remote sensing, blockchain, and real-time energy telemetry, organizations can move from static annual reports to a dynamic knowledge base that supports hourly matching and localized deliverability.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transition is not merely a reporting upgrade; it is a fundamental shift toward an auditable digital ecosystem where every compute cycle can be mapped to a specific carbon-free energy source in real-time.</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2 Guidance | GHG Protocol, accessed January 27, 2026, </w:t>
      </w:r>
      <w:hyperlink r:id="rId18">
        <w:r w:rsidDel="00000000" w:rsidR="00000000" w:rsidRPr="00000000">
          <w:rPr>
            <w:rFonts w:ascii="Google Sans" w:cs="Google Sans" w:eastAsia="Google Sans" w:hAnsi="Google Sans"/>
            <w:color w:val="0000ee"/>
            <w:sz w:val="24"/>
            <w:szCs w:val="24"/>
            <w:u w:val="single"/>
            <w:rtl w:val="0"/>
          </w:rPr>
          <w:t xml:space="preserve">https://ghgprotocol.org/scope-2-guidance</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2 - Standard Development Plan - 2024.12.20 - GHG Protocol, accessed January 27, 2026, </w:t>
      </w:r>
      <w:hyperlink r:id="rId19">
        <w:r w:rsidDel="00000000" w:rsidR="00000000" w:rsidRPr="00000000">
          <w:rPr>
            <w:rFonts w:ascii="Google Sans" w:cs="Google Sans" w:eastAsia="Google Sans" w:hAnsi="Google Sans"/>
            <w:color w:val="0000ee"/>
            <w:sz w:val="24"/>
            <w:szCs w:val="24"/>
            <w:u w:val="single"/>
            <w:rtl w:val="0"/>
          </w:rPr>
          <w:t xml:space="preserve">https://ghgprotocol.org/sites/default/files/2025-01/S2-SDP-20241220.pdf</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Greenhouse Gas Protocol: Scope 2 Proposal Summary, accessed January 27, 2026, </w:t>
      </w:r>
      <w:hyperlink r:id="rId20">
        <w:r w:rsidDel="00000000" w:rsidR="00000000" w:rsidRPr="00000000">
          <w:rPr>
            <w:rFonts w:ascii="Google Sans" w:cs="Google Sans" w:eastAsia="Google Sans" w:hAnsi="Google Sans"/>
            <w:color w:val="0000ee"/>
            <w:sz w:val="24"/>
            <w:szCs w:val="24"/>
            <w:u w:val="single"/>
            <w:rtl w:val="0"/>
          </w:rPr>
          <w:t xml:space="preserve">https://ghgprotocol.org/sites/default/files/2023-12/scope-2-proposal-summary.pdf</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Greenhouse Gas Protocol's Proposed Scope 2 Guidance: Key Changes and Considerations for Stakeholders | Inside Energy &amp; Environment, accessed January 27, 2026, </w:t>
      </w:r>
      <w:hyperlink r:id="rId21">
        <w:r w:rsidDel="00000000" w:rsidR="00000000" w:rsidRPr="00000000">
          <w:rPr>
            <w:rFonts w:ascii="Google Sans" w:cs="Google Sans" w:eastAsia="Google Sans" w:hAnsi="Google Sans"/>
            <w:color w:val="0000ee"/>
            <w:sz w:val="24"/>
            <w:szCs w:val="24"/>
            <w:u w:val="single"/>
            <w:rtl w:val="0"/>
          </w:rPr>
          <w:t xml:space="preserve">https://www.insideenergyandenvironment.com/2025/11/the-greenhouse-gas-protocols-proposed-scope-2-guidance-key-changes-and-considerations-for-stakeholders/</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2 - Revision Guide Framework for Phase 1 - 2024.12.16 - GHG Protocol, accessed January 27, 2026, </w:t>
      </w:r>
      <w:hyperlink r:id="rId22">
        <w:r w:rsidDel="00000000" w:rsidR="00000000" w:rsidRPr="00000000">
          <w:rPr>
            <w:rFonts w:ascii="Google Sans" w:cs="Google Sans" w:eastAsia="Google Sans" w:hAnsi="Google Sans"/>
            <w:color w:val="0000ee"/>
            <w:sz w:val="24"/>
            <w:szCs w:val="24"/>
            <w:u w:val="single"/>
            <w:rtl w:val="0"/>
          </w:rPr>
          <w:t xml:space="preserve">https://ghgprotocol.org/sites/default/files/2025-01/S2-RevisionGuideFramework-20241216.pdf</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5.7 Reporting | DART – Deloitte Accounting Research Tool, accessed January 27, 2026, </w:t>
      </w:r>
      <w:hyperlink r:id="rId23">
        <w:r w:rsidDel="00000000" w:rsidR="00000000" w:rsidRPr="00000000">
          <w:rPr>
            <w:rFonts w:ascii="Google Sans" w:cs="Google Sans" w:eastAsia="Google Sans" w:hAnsi="Google Sans"/>
            <w:color w:val="0000ee"/>
            <w:sz w:val="24"/>
            <w:szCs w:val="24"/>
            <w:u w:val="single"/>
            <w:rtl w:val="0"/>
          </w:rPr>
          <w:t xml:space="preserve">https://dart.deloitte.com/USDART/home/publications/deloitte/additional-deloitte-guidance/greenhouse-gas-protocol-reporting-considerations/chapter-5-ghg-protocol-scope-2/5-7-reporting</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GHG Protocol Scope 2 Guidance, accessed January 27, 2026, </w:t>
      </w:r>
      <w:hyperlink r:id="rId24">
        <w:r w:rsidDel="00000000" w:rsidR="00000000" w:rsidRPr="00000000">
          <w:rPr>
            <w:rFonts w:ascii="Google Sans" w:cs="Google Sans" w:eastAsia="Google Sans" w:hAnsi="Google Sans"/>
            <w:color w:val="0000ee"/>
            <w:sz w:val="24"/>
            <w:szCs w:val="24"/>
            <w:u w:val="single"/>
            <w:rtl w:val="0"/>
          </w:rPr>
          <w:t xml:space="preserve">https://ghgprotocol.org/sites/default/files/2022-12/Scope2_ExecSum_Final.pdf</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2 Guidance Training - GHG Protocol, accessed January 27, 2026, </w:t>
      </w:r>
      <w:hyperlink r:id="rId25">
        <w:r w:rsidDel="00000000" w:rsidR="00000000" w:rsidRPr="00000000">
          <w:rPr>
            <w:rFonts w:ascii="Google Sans" w:cs="Google Sans" w:eastAsia="Google Sans" w:hAnsi="Google Sans"/>
            <w:color w:val="0000ee"/>
            <w:sz w:val="24"/>
            <w:szCs w:val="24"/>
            <w:u w:val="single"/>
            <w:rtl w:val="0"/>
          </w:rPr>
          <w:t xml:space="preserve">https://ghgprotocol.org/sites/default/files/2023-05/GHGP%20scope%202%20training%20%28Part%201%29.pdf</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2 Guidance: new developments in corporate GHG accounting for energy purchases and consumption, accessed January 27, 2026, </w:t>
      </w:r>
      <w:hyperlink r:id="rId26">
        <w:r w:rsidDel="00000000" w:rsidR="00000000" w:rsidRPr="00000000">
          <w:rPr>
            <w:rFonts w:ascii="Google Sans" w:cs="Google Sans" w:eastAsia="Google Sans" w:hAnsi="Google Sans"/>
            <w:color w:val="0000ee"/>
            <w:sz w:val="24"/>
            <w:szCs w:val="24"/>
            <w:u w:val="single"/>
            <w:rtl w:val="0"/>
          </w:rPr>
          <w:t xml:space="preserve">https://ghgprotocol.org/sites/default/files/Scope%202%20Public%20Consultation%20Workshop.pdf</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2 Frequently Asked Questions - GHG Protocol, accessed January 27, 2026, </w:t>
      </w:r>
      <w:hyperlink r:id="rId27">
        <w:r w:rsidDel="00000000" w:rsidR="00000000" w:rsidRPr="00000000">
          <w:rPr>
            <w:rFonts w:ascii="Google Sans" w:cs="Google Sans" w:eastAsia="Google Sans" w:hAnsi="Google Sans"/>
            <w:color w:val="0000ee"/>
            <w:sz w:val="24"/>
            <w:szCs w:val="24"/>
            <w:u w:val="single"/>
            <w:rtl w:val="0"/>
          </w:rPr>
          <w:t xml:space="preserve">https://ghgprotocol.org/scope-2-frequently-asked-questions</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Proposed changes to the GHG Protocol scope 2 guidance - Ramboll, accessed January 27, 2026, </w:t>
      </w:r>
      <w:hyperlink r:id="rId28">
        <w:r w:rsidDel="00000000" w:rsidR="00000000" w:rsidRPr="00000000">
          <w:rPr>
            <w:rFonts w:ascii="Google Sans" w:cs="Google Sans" w:eastAsia="Google Sans" w:hAnsi="Google Sans"/>
            <w:color w:val="0000ee"/>
            <w:sz w:val="24"/>
            <w:szCs w:val="24"/>
            <w:u w:val="single"/>
            <w:rtl w:val="0"/>
          </w:rPr>
          <w:t xml:space="preserve">https://www.ramboll.com/insights/decarbonise-for-net-zero/proposed-changes-to-the-ghg-protocol-scope-2-guidance</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14064-1: 2018, Greenhouse Gases - Part 1: Specification with Guidance at the Organization Level for Quantification and Reporting of Greenhouse Gas Emissions and Removals - FedCenter, accessed January 27, 2026, </w:t>
      </w:r>
      <w:hyperlink r:id="rId29">
        <w:r w:rsidDel="00000000" w:rsidR="00000000" w:rsidRPr="00000000">
          <w:rPr>
            <w:rFonts w:ascii="Google Sans" w:cs="Google Sans" w:eastAsia="Google Sans" w:hAnsi="Google Sans"/>
            <w:color w:val="0000ee"/>
            <w:sz w:val="24"/>
            <w:szCs w:val="24"/>
            <w:u w:val="single"/>
            <w:rtl w:val="0"/>
          </w:rPr>
          <w:t xml:space="preserve">https://www.fedcenter.gov/Bookmarks/index.cfm?id=33494</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Proposed Changes to GHG Protocol Scope 2 Guidelines Threaten to Reshape Corporate Clean Energy Procurement | Morrison Foerster, accessed January 27, 2026, </w:t>
      </w:r>
      <w:hyperlink r:id="rId30">
        <w:r w:rsidDel="00000000" w:rsidR="00000000" w:rsidRPr="00000000">
          <w:rPr>
            <w:rFonts w:ascii="Google Sans" w:cs="Google Sans" w:eastAsia="Google Sans" w:hAnsi="Google Sans"/>
            <w:color w:val="0000ee"/>
            <w:sz w:val="24"/>
            <w:szCs w:val="24"/>
            <w:u w:val="single"/>
            <w:rtl w:val="0"/>
          </w:rPr>
          <w:t xml:space="preserve">https://www.mofo.com/resources/insights/250626-proposed-changes-to-ghg-protocol-scope-2-guidelines</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FOOTPRINT REPORT UNDER ISO 14064-1:2018 - Moeve, accessed January 27, 2026, </w:t>
      </w:r>
      <w:hyperlink r:id="rId31">
        <w:r w:rsidDel="00000000" w:rsidR="00000000" w:rsidRPr="00000000">
          <w:rPr>
            <w:rFonts w:ascii="Google Sans" w:cs="Google Sans" w:eastAsia="Google Sans" w:hAnsi="Google Sans"/>
            <w:color w:val="0000ee"/>
            <w:sz w:val="24"/>
            <w:szCs w:val="24"/>
            <w:u w:val="single"/>
            <w:rtl w:val="0"/>
          </w:rPr>
          <w:t xml:space="preserve">https://www.moeveglobal.com/stfls/corporativo/FICHEROS/iso14064-report-ep-rkf2021-220611.pdf</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ISO 14064: A Comprehensive Guide for Businesses | Blog | ASUENE, accessed January 27, 2026, </w:t>
      </w:r>
      <w:hyperlink r:id="rId32">
        <w:r w:rsidDel="00000000" w:rsidR="00000000" w:rsidRPr="00000000">
          <w:rPr>
            <w:rFonts w:ascii="Google Sans" w:cs="Google Sans" w:eastAsia="Google Sans" w:hAnsi="Google Sans"/>
            <w:color w:val="0000ee"/>
            <w:sz w:val="24"/>
            <w:szCs w:val="24"/>
            <w:u w:val="single"/>
            <w:rtl w:val="0"/>
          </w:rPr>
          <w:t xml:space="preserve">https://asuene.com/uk/blog/understanding-iso-14064-a-comprehensive-guide-for-businesses</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14064-1:2018: Greenhouse gases – Part 1: Specification with guidance at the organization level for quantification and reporting of greenhouse gas emissions and removals - Supply Chain Solutions Center, accessed January 27, 2026, </w:t>
      </w:r>
      <w:hyperlink r:id="rId33">
        <w:r w:rsidDel="00000000" w:rsidR="00000000" w:rsidRPr="00000000">
          <w:rPr>
            <w:rFonts w:ascii="Google Sans" w:cs="Google Sans" w:eastAsia="Google Sans" w:hAnsi="Google Sans"/>
            <w:color w:val="0000ee"/>
            <w:sz w:val="24"/>
            <w:szCs w:val="24"/>
            <w:u w:val="single"/>
            <w:rtl w:val="0"/>
          </w:rPr>
          <w:t xml:space="preserve">https://supplychain.edf.org/resources/iso-14064-12018-greenhouse-gases-part-1-specification-with-guidance-at-the-organization-level-for-quantification-and-reporting-of-greenhouse-gas-emissions-and-removals/</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14064: Objectives and Requirements - Greenly, accessed January 27, 2026, </w:t>
      </w:r>
      <w:hyperlink r:id="rId34">
        <w:r w:rsidDel="00000000" w:rsidR="00000000" w:rsidRPr="00000000">
          <w:rPr>
            <w:rFonts w:ascii="Google Sans" w:cs="Google Sans" w:eastAsia="Google Sans" w:hAnsi="Google Sans"/>
            <w:color w:val="0000ee"/>
            <w:sz w:val="24"/>
            <w:szCs w:val="24"/>
            <w:u w:val="single"/>
            <w:rtl w:val="0"/>
          </w:rPr>
          <w:t xml:space="preserve">https://greenly.earth/en-us/blog/company-guide/iso-14064-objectives-and-requirements</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Quantification and reporting of greenhouse gas - Service - GIC Việt Nam, accessed January 27, 2026, </w:t>
      </w:r>
      <w:hyperlink r:id="rId35">
        <w:r w:rsidDel="00000000" w:rsidR="00000000" w:rsidRPr="00000000">
          <w:rPr>
            <w:rFonts w:ascii="Google Sans" w:cs="Google Sans" w:eastAsia="Google Sans" w:hAnsi="Google Sans"/>
            <w:color w:val="0000ee"/>
            <w:sz w:val="24"/>
            <w:szCs w:val="24"/>
            <w:u w:val="single"/>
            <w:rtl w:val="0"/>
          </w:rPr>
          <w:t xml:space="preserve">https://www.gicvn.vn/services/quantification-and-reporting-of-greenhouse-gas-iso-14064-1-ghg.html</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- 14064-1, accessed January 27, 2026, </w:t>
      </w:r>
      <w:hyperlink r:id="rId36">
        <w:r w:rsidDel="00000000" w:rsidR="00000000" w:rsidRPr="00000000">
          <w:rPr>
            <w:rFonts w:ascii="Google Sans" w:cs="Google Sans" w:eastAsia="Google Sans" w:hAnsi="Google Sans"/>
            <w:color w:val="0000ee"/>
            <w:sz w:val="24"/>
            <w:szCs w:val="24"/>
            <w:u w:val="single"/>
            <w:rtl w:val="0"/>
          </w:rPr>
          <w:t xml:space="preserve">https://www.ditan.com/static/upload/file/20240419/1713505579197549.pdf</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14064 Greenhouse Gases (GHG) Emissions and Removals Standards - 2019 Revisions, accessed January 27, 2026, </w:t>
      </w:r>
      <w:hyperlink r:id="rId37">
        <w:r w:rsidDel="00000000" w:rsidR="00000000" w:rsidRPr="00000000">
          <w:rPr>
            <w:rFonts w:ascii="Google Sans" w:cs="Google Sans" w:eastAsia="Google Sans" w:hAnsi="Google Sans"/>
            <w:color w:val="0000ee"/>
            <w:sz w:val="24"/>
            <w:szCs w:val="24"/>
            <w:u w:val="single"/>
            <w:rtl w:val="0"/>
          </w:rPr>
          <w:t xml:space="preserve">https://blog.ansi.org/ansi/iso-14064-2019-greenhouse-gas-ghg-emissions/</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ISO 14064? - PlanA.Earth, accessed January 27, 2026, </w:t>
      </w:r>
      <w:hyperlink r:id="rId38">
        <w:r w:rsidDel="00000000" w:rsidR="00000000" w:rsidRPr="00000000">
          <w:rPr>
            <w:rFonts w:ascii="Google Sans" w:cs="Google Sans" w:eastAsia="Google Sans" w:hAnsi="Google Sans"/>
            <w:color w:val="0000ee"/>
            <w:sz w:val="24"/>
            <w:szCs w:val="24"/>
            <w:u w:val="single"/>
            <w:rtl w:val="0"/>
          </w:rPr>
          <w:t xml:space="preserve">https://plana.earth/academy/iso-14064</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ISO 14064-1 and Its Benefits - SGS, accessed January 27, 2026, </w:t>
      </w:r>
      <w:hyperlink r:id="rId39">
        <w:r w:rsidDel="00000000" w:rsidR="00000000" w:rsidRPr="00000000">
          <w:rPr>
            <w:rFonts w:ascii="Google Sans" w:cs="Google Sans" w:eastAsia="Google Sans" w:hAnsi="Google Sans"/>
            <w:color w:val="0000ee"/>
            <w:sz w:val="24"/>
            <w:szCs w:val="24"/>
            <w:u w:val="single"/>
            <w:rtl w:val="0"/>
          </w:rPr>
          <w:t xml:space="preserve">https://www.sgs.com/en/news/2024/07/defining-iso-14064-1-and-its-benefits</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you need to know about ISO 14064 - Hedgehog, accessed January 27, 2026, </w:t>
      </w:r>
      <w:hyperlink r:id="rId40">
        <w:r w:rsidDel="00000000" w:rsidR="00000000" w:rsidRPr="00000000">
          <w:rPr>
            <w:rFonts w:ascii="Google Sans" w:cs="Google Sans" w:eastAsia="Google Sans" w:hAnsi="Google Sans"/>
            <w:color w:val="0000ee"/>
            <w:sz w:val="24"/>
            <w:szCs w:val="24"/>
            <w:u w:val="single"/>
            <w:rtl w:val="0"/>
          </w:rPr>
          <w:t xml:space="preserve">https://www.hhc.earth/knowledge-base/articles/all-you-need-to-know-about-iso-14064</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14064-1 GHG Emissions Report - FPS - Flexible Packaging Solutions, accessed January 27, 2026, </w:t>
      </w:r>
      <w:hyperlink r:id="rId41">
        <w:r w:rsidDel="00000000" w:rsidR="00000000" w:rsidRPr="00000000">
          <w:rPr>
            <w:rFonts w:ascii="Google Sans" w:cs="Google Sans" w:eastAsia="Google Sans" w:hAnsi="Google Sans"/>
            <w:color w:val="0000ee"/>
            <w:sz w:val="24"/>
            <w:szCs w:val="24"/>
            <w:u w:val="single"/>
            <w:rtl w:val="0"/>
          </w:rPr>
          <w:t xml:space="preserve">https://www.fps.com/wp-content/uploads/2025/07/FPS_ISO14064_Report.pdf</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Generation Reforms: TIC Council India Recommendations for Robust and Credible Indian Carbon Credit Trading Scheme (CCTS), accessed January 27, 2026, </w:t>
      </w:r>
      <w:hyperlink r:id="rId42">
        <w:r w:rsidDel="00000000" w:rsidR="00000000" w:rsidRPr="00000000">
          <w:rPr>
            <w:rFonts w:ascii="Google Sans" w:cs="Google Sans" w:eastAsia="Google Sans" w:hAnsi="Google Sans"/>
            <w:color w:val="0000ee"/>
            <w:sz w:val="24"/>
            <w:szCs w:val="24"/>
            <w:u w:val="single"/>
            <w:rtl w:val="0"/>
          </w:rPr>
          <w:t xml:space="preserve">https://www.tic-council.org/application/files/9917/6426/2050/Robust_and_Credible_Indian_Carbon_Credit_Trading_Scheme_CCTS._Final_002.pdf</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Carbon Credit Trading System (CCTS) Explained - Anaxee Digital Runners, accessed January 27, 2026, </w:t>
      </w:r>
      <w:hyperlink r:id="rId43">
        <w:r w:rsidDel="00000000" w:rsidR="00000000" w:rsidRPr="00000000">
          <w:rPr>
            <w:rFonts w:ascii="Google Sans" w:cs="Google Sans" w:eastAsia="Google Sans" w:hAnsi="Google Sans"/>
            <w:color w:val="0000ee"/>
            <w:sz w:val="24"/>
            <w:szCs w:val="24"/>
            <w:u w:val="single"/>
            <w:rtl w:val="0"/>
          </w:rPr>
          <w:t xml:space="preserve">https://anaxee.com/indias-carbon-credit-trading-system-ccts-explained-how-to-navigate-the-new-indian-carbon-market-in-2025/</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Credit Trading Scheme (CCTS) in India - Lawrbit, accessed January 27, 2026, </w:t>
      </w:r>
      <w:hyperlink r:id="rId44">
        <w:r w:rsidDel="00000000" w:rsidR="00000000" w:rsidRPr="00000000">
          <w:rPr>
            <w:rFonts w:ascii="Google Sans" w:cs="Google Sans" w:eastAsia="Google Sans" w:hAnsi="Google Sans"/>
            <w:color w:val="0000ee"/>
            <w:sz w:val="24"/>
            <w:szCs w:val="24"/>
            <w:u w:val="single"/>
            <w:rtl w:val="0"/>
          </w:rPr>
          <w:t xml:space="preserve">https://www.lawrbit.com/article/carbon-credit-trading-scheme/</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notifies emission intensity targets for nine sectors under Carbon Credit Trading Scheme, accessed January 27, 2026, </w:t>
      </w:r>
      <w:hyperlink r:id="rId45">
        <w:r w:rsidDel="00000000" w:rsidR="00000000" w:rsidRPr="00000000">
          <w:rPr>
            <w:rFonts w:ascii="Google Sans" w:cs="Google Sans" w:eastAsia="Google Sans" w:hAnsi="Google Sans"/>
            <w:color w:val="0000ee"/>
            <w:sz w:val="24"/>
            <w:szCs w:val="24"/>
            <w:u w:val="single"/>
            <w:rtl w:val="0"/>
          </w:rPr>
          <w:t xml:space="preserve">https://icapcarbonaction.com/en/news/india-notifies-emission-intensity-targets-nine-sectors-under-carbon-credit-trading-scheme</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Parliament Question:- Indian Carbon Market - PIB, accessed January 27, 2026, </w:t>
      </w:r>
      <w:hyperlink r:id="rId46">
        <w:r w:rsidDel="00000000" w:rsidR="00000000" w:rsidRPr="00000000">
          <w:rPr>
            <w:rFonts w:ascii="Google Sans" w:cs="Google Sans" w:eastAsia="Google Sans" w:hAnsi="Google Sans"/>
            <w:color w:val="0000ee"/>
            <w:sz w:val="24"/>
            <w:szCs w:val="24"/>
            <w:u w:val="single"/>
            <w:rtl w:val="0"/>
          </w:rPr>
          <w:t xml:space="preserve">https://www.pib.gov.in/PressReleasePage.aspx?PRID=2082528</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carbon market framework - BUREAU OF ENERGY ..., accessed January 27, 2026, </w:t>
      </w:r>
      <w:hyperlink r:id="rId47">
        <w:r w:rsidDel="00000000" w:rsidR="00000000" w:rsidRPr="00000000">
          <w:rPr>
            <w:rFonts w:ascii="Google Sans" w:cs="Google Sans" w:eastAsia="Google Sans" w:hAnsi="Google Sans"/>
            <w:color w:val="0000ee"/>
            <w:sz w:val="24"/>
            <w:szCs w:val="24"/>
            <w:u w:val="single"/>
            <w:rtl w:val="0"/>
          </w:rPr>
          <w:t xml:space="preserve">https://www.beeindia.gov.in/carbon-market.php</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Detailed Procedure for Compliance Mechanism under CCTS - BEE, accessed January 27, 2026, </w:t>
      </w:r>
      <w:hyperlink r:id="rId48">
        <w:r w:rsidDel="00000000" w:rsidR="00000000" w:rsidRPr="00000000">
          <w:rPr>
            <w:rFonts w:ascii="Google Sans" w:cs="Google Sans" w:eastAsia="Google Sans" w:hAnsi="Google Sans"/>
            <w:color w:val="0000ee"/>
            <w:sz w:val="24"/>
            <w:szCs w:val="24"/>
            <w:u w:val="single"/>
            <w:rtl w:val="0"/>
          </w:rPr>
          <w:t xml:space="preserve">https://beeindia.gov.in/sites/default/files/Detailed%20Procedure%20for%20Compliance%20Mechanism.pdf</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Standard for the Global Goals - A best practice standard to quantify, certify and maximize impact to the SDGs, accessed January 27, 2026, </w:t>
      </w:r>
      <w:hyperlink r:id="rId49">
        <w:r w:rsidDel="00000000" w:rsidR="00000000" w:rsidRPr="00000000">
          <w:rPr>
            <w:rFonts w:ascii="Google Sans" w:cs="Google Sans" w:eastAsia="Google Sans" w:hAnsi="Google Sans"/>
            <w:color w:val="0000ee"/>
            <w:sz w:val="24"/>
            <w:szCs w:val="24"/>
            <w:u w:val="single"/>
            <w:rtl w:val="0"/>
          </w:rPr>
          <w:t xml:space="preserve">https://sdgs.un.org/partnerships/gold-standard-global-goals-best-practice-standard-quantify-certify-and-maximize-impact</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Standard for the Global Goals Renewable Energy Label Product Requirements, accessed January 27, 2026, </w:t>
      </w:r>
      <w:hyperlink r:id="rId50">
        <w:r w:rsidDel="00000000" w:rsidR="00000000" w:rsidRPr="00000000">
          <w:rPr>
            <w:rFonts w:ascii="Google Sans" w:cs="Google Sans" w:eastAsia="Google Sans" w:hAnsi="Google Sans"/>
            <w:color w:val="0000ee"/>
            <w:sz w:val="24"/>
            <w:szCs w:val="24"/>
            <w:u w:val="single"/>
            <w:rtl w:val="0"/>
          </w:rPr>
          <w:t xml:space="preserve">https://globalgoals.goldstandard.org/standards/202_V1.0_TC_AR_Renewable-Energy-Activity-Requirements.pdf</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Standards - Gold Standard for the Global Goals, accessed January 27, 2026, </w:t>
      </w:r>
      <w:hyperlink r:id="rId51">
        <w:r w:rsidDel="00000000" w:rsidR="00000000" w:rsidRPr="00000000">
          <w:rPr>
            <w:rFonts w:ascii="Google Sans" w:cs="Google Sans" w:eastAsia="Google Sans" w:hAnsi="Google Sans"/>
            <w:color w:val="0000ee"/>
            <w:sz w:val="24"/>
            <w:szCs w:val="24"/>
            <w:u w:val="single"/>
            <w:rtl w:val="0"/>
          </w:rPr>
          <w:t xml:space="preserve">https://globalgoals.goldstandard.org/all-standards/</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Standard for the Global Goals – Standard Documents, accessed January 27, 2026, </w:t>
      </w:r>
      <w:hyperlink r:id="rId52">
        <w:r w:rsidDel="00000000" w:rsidR="00000000" w:rsidRPr="00000000">
          <w:rPr>
            <w:rFonts w:ascii="Google Sans" w:cs="Google Sans" w:eastAsia="Google Sans" w:hAnsi="Google Sans"/>
            <w:color w:val="0000ee"/>
            <w:sz w:val="24"/>
            <w:szCs w:val="24"/>
            <w:u w:val="single"/>
            <w:rtl w:val="0"/>
          </w:rPr>
          <w:t xml:space="preserve">https://globalgoals.goldstandard.org/</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Documents - Gold Standard for the Global Goals, accessed January 27, 2026, </w:t>
      </w:r>
      <w:hyperlink r:id="rId53">
        <w:r w:rsidDel="00000000" w:rsidR="00000000" w:rsidRPr="00000000">
          <w:rPr>
            <w:rFonts w:ascii="Google Sans" w:cs="Google Sans" w:eastAsia="Google Sans" w:hAnsi="Google Sans"/>
            <w:color w:val="0000ee"/>
            <w:sz w:val="24"/>
            <w:szCs w:val="24"/>
            <w:u w:val="single"/>
            <w:rtl w:val="0"/>
          </w:rPr>
          <w:t xml:space="preserve">https://globalgoals.goldstandard.org/all-documents/</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Renewable Energy activity requirements v1.4 - Gold Standard for ..., accessed January 27, 2026, </w:t>
      </w:r>
      <w:hyperlink r:id="rId54">
        <w:r w:rsidDel="00000000" w:rsidR="00000000" w:rsidRPr="00000000">
          <w:rPr>
            <w:rFonts w:ascii="Google Sans" w:cs="Google Sans" w:eastAsia="Google Sans" w:hAnsi="Google Sans"/>
            <w:color w:val="0000ee"/>
            <w:sz w:val="24"/>
            <w:szCs w:val="24"/>
            <w:u w:val="single"/>
            <w:rtl w:val="0"/>
          </w:rPr>
          <w:t xml:space="preserve">https://globalgoals.goldstandard.org/standards/202_V1.4_AR-Renewable-Energy-Activity-Requirements.pdf</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SDG Impact Quantification Methodologies – Gold Standard for the ..., accessed January 27, 2026, </w:t>
      </w:r>
      <w:hyperlink r:id="rId55">
        <w:r w:rsidDel="00000000" w:rsidR="00000000" w:rsidRPr="00000000">
          <w:rPr>
            <w:rFonts w:ascii="Google Sans" w:cs="Google Sans" w:eastAsia="Google Sans" w:hAnsi="Google Sans"/>
            <w:color w:val="0000ee"/>
            <w:sz w:val="24"/>
            <w:szCs w:val="24"/>
            <w:u w:val="single"/>
            <w:rtl w:val="0"/>
          </w:rPr>
          <w:t xml:space="preserve">https://globalgoals.goldstandard.org/400-sdg-impact-quantification/</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Verra and the Verified Carbon Standard (VCS) - Sustain Cert, accessed January 27, 2026, </w:t>
      </w:r>
      <w:hyperlink r:id="rId56">
        <w:r w:rsidDel="00000000" w:rsidR="00000000" w:rsidRPr="00000000">
          <w:rPr>
            <w:rFonts w:ascii="Google Sans" w:cs="Google Sans" w:eastAsia="Google Sans" w:hAnsi="Google Sans"/>
            <w:color w:val="0000ee"/>
            <w:sz w:val="24"/>
            <w:szCs w:val="24"/>
            <w:u w:val="single"/>
            <w:rtl w:val="0"/>
          </w:rPr>
          <w:t xml:space="preserve">https://www.sustain-cert.com/news/what-are-verra-and-the-verified-carbon-standard</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Verra VCS vs. Gold Standard - Carbonibus, accessed January 27, 2026, </w:t>
      </w:r>
      <w:hyperlink r:id="rId57">
        <w:r w:rsidDel="00000000" w:rsidR="00000000" w:rsidRPr="00000000">
          <w:rPr>
            <w:rFonts w:ascii="Google Sans" w:cs="Google Sans" w:eastAsia="Google Sans" w:hAnsi="Google Sans"/>
            <w:color w:val="0000ee"/>
            <w:sz w:val="24"/>
            <w:szCs w:val="24"/>
            <w:u w:val="single"/>
            <w:rtl w:val="0"/>
          </w:rPr>
          <w:t xml:space="preserve">https://www.carbonibus.org/post/verra-vcs-vs-gold-standard</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Verified Carbon Standard - Verra, accessed January 27, 2026, </w:t>
      </w:r>
      <w:hyperlink r:id="rId58">
        <w:r w:rsidDel="00000000" w:rsidR="00000000" w:rsidRPr="00000000">
          <w:rPr>
            <w:rFonts w:ascii="Google Sans" w:cs="Google Sans" w:eastAsia="Google Sans" w:hAnsi="Google Sans"/>
            <w:color w:val="0000ee"/>
            <w:sz w:val="24"/>
            <w:szCs w:val="24"/>
            <w:u w:val="single"/>
            <w:rtl w:val="0"/>
          </w:rPr>
          <w:t xml:space="preserve">https://verra.org/programs/verified-carbon-standard/</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VCS Standard v4.5 Updated 11 Dec 2023 | PDF | Electricity Generation - Scribd, accessed January 27, 2026, </w:t>
      </w:r>
      <w:hyperlink r:id="rId59">
        <w:r w:rsidDel="00000000" w:rsidR="00000000" w:rsidRPr="00000000">
          <w:rPr>
            <w:rFonts w:ascii="Google Sans" w:cs="Google Sans" w:eastAsia="Google Sans" w:hAnsi="Google Sans"/>
            <w:color w:val="0000ee"/>
            <w:sz w:val="24"/>
            <w:szCs w:val="24"/>
            <w:u w:val="single"/>
            <w:rtl w:val="0"/>
          </w:rPr>
          <w:t xml:space="preserve">https://www.scribd.com/document/714328435/VCS-Standard-v4-5-Updated-11-Dec-2023</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VCS Program Details - Verra, accessed January 27, 2026, </w:t>
      </w:r>
      <w:hyperlink r:id="rId60">
        <w:r w:rsidDel="00000000" w:rsidR="00000000" w:rsidRPr="00000000">
          <w:rPr>
            <w:rFonts w:ascii="Google Sans" w:cs="Google Sans" w:eastAsia="Google Sans" w:hAnsi="Google Sans"/>
            <w:color w:val="0000ee"/>
            <w:sz w:val="24"/>
            <w:szCs w:val="24"/>
            <w:u w:val="single"/>
            <w:rtl w:val="0"/>
          </w:rPr>
          <w:t xml:space="preserve">https://verra.org/programs/verified-carbon-standard/vcs-program-details/</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Verra, accessed January 27, 2026, </w:t>
      </w:r>
      <w:hyperlink r:id="rId61">
        <w:r w:rsidDel="00000000" w:rsidR="00000000" w:rsidRPr="00000000">
          <w:rPr>
            <w:rFonts w:ascii="Google Sans" w:cs="Google Sans" w:eastAsia="Google Sans" w:hAnsi="Google Sans"/>
            <w:color w:val="0000ee"/>
            <w:sz w:val="24"/>
            <w:szCs w:val="24"/>
            <w:u w:val="single"/>
            <w:rtl w:val="0"/>
          </w:rPr>
          <w:t xml:space="preserve">https://verra.org/program-methodology/vcs-program-standard/overview/</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Methodologies - Verra, accessed January 27, 2026, </w:t>
      </w:r>
      <w:hyperlink r:id="rId62">
        <w:r w:rsidDel="00000000" w:rsidR="00000000" w:rsidRPr="00000000">
          <w:rPr>
            <w:rFonts w:ascii="Google Sans" w:cs="Google Sans" w:eastAsia="Google Sans" w:hAnsi="Google Sans"/>
            <w:color w:val="0000ee"/>
            <w:sz w:val="24"/>
            <w:szCs w:val="24"/>
            <w:u w:val="single"/>
            <w:rtl w:val="0"/>
          </w:rPr>
          <w:t xml:space="preserve">https://verra.org/program-methodology/vcs-program-standard/vcs-program-methodologies-active/</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VCS-Copy-of-Application.pdf - Integrity Council for the Voluntary Carbon Market, accessed January 27, 2026, </w:t>
      </w:r>
      <w:hyperlink r:id="rId63">
        <w:r w:rsidDel="00000000" w:rsidR="00000000" w:rsidRPr="00000000">
          <w:rPr>
            <w:rFonts w:ascii="Google Sans" w:cs="Google Sans" w:eastAsia="Google Sans" w:hAnsi="Google Sans"/>
            <w:color w:val="0000ee"/>
            <w:sz w:val="24"/>
            <w:szCs w:val="24"/>
            <w:u w:val="single"/>
            <w:rtl w:val="0"/>
          </w:rPr>
          <w:t xml:space="preserve">https://icvcm.org/wp-content/uploads/2024/04/VCS-Copy-of-Application.pdf</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Assessment of Verra's Updated REDD+ Methodology (VM0048) - Goldman School of Public Policy, accessed January 27, 2026, </w:t>
      </w:r>
      <w:hyperlink r:id="rId64">
        <w:r w:rsidDel="00000000" w:rsidR="00000000" w:rsidRPr="00000000">
          <w:rPr>
            <w:rFonts w:ascii="Google Sans" w:cs="Google Sans" w:eastAsia="Google Sans" w:hAnsi="Google Sans"/>
            <w:color w:val="0000ee"/>
            <w:sz w:val="24"/>
            <w:szCs w:val="24"/>
            <w:u w:val="single"/>
            <w:rtl w:val="0"/>
          </w:rPr>
          <w:t xml:space="preserve">https://gspp.berkeley.edu/assets/uploads/page/Quality-Assessment-of-VM0048--July-2024--BCTP-Policy-Brief.pdf</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MRV Methodologies between Verra and Gold Standard in Voluntary Carbon Projects, accessed January 27, 2026, </w:t>
      </w:r>
      <w:hyperlink r:id="rId65">
        <w:r w:rsidDel="00000000" w:rsidR="00000000" w:rsidRPr="00000000">
          <w:rPr>
            <w:rFonts w:ascii="Google Sans" w:cs="Google Sans" w:eastAsia="Google Sans" w:hAnsi="Google Sans"/>
            <w:color w:val="0000ee"/>
            <w:sz w:val="24"/>
            <w:szCs w:val="24"/>
            <w:u w:val="single"/>
            <w:rtl w:val="0"/>
          </w:rPr>
          <w:t xml:space="preserve">https://www.imlcarbon.com/comparison-of-mrv-methodologies-between-verra-and-gold-standard-in-voluntary-carbon-projects/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hc.earth/knowledge-base/articles/all-you-need-to-know-about-iso-14064" TargetMode="External"/><Relationship Id="rId42" Type="http://schemas.openxmlformats.org/officeDocument/2006/relationships/hyperlink" Target="https://www.tic-council.org/application/files/9917/6426/2050/Robust_and_Credible_Indian_Carbon_Credit_Trading_Scheme_CCTS._Final_002.pdf" TargetMode="External"/><Relationship Id="rId41" Type="http://schemas.openxmlformats.org/officeDocument/2006/relationships/hyperlink" Target="https://www.fps.com/wp-content/uploads/2025/07/FPS_ISO14064_Report.pdf" TargetMode="External"/><Relationship Id="rId44" Type="http://schemas.openxmlformats.org/officeDocument/2006/relationships/hyperlink" Target="https://www.lawrbit.com/article/carbon-credit-trading-scheme/" TargetMode="External"/><Relationship Id="rId43" Type="http://schemas.openxmlformats.org/officeDocument/2006/relationships/hyperlink" Target="https://anaxee.com/indias-carbon-credit-trading-system-ccts-explained-how-to-navigate-the-new-indian-carbon-market-in-2025/" TargetMode="External"/><Relationship Id="rId46" Type="http://schemas.openxmlformats.org/officeDocument/2006/relationships/hyperlink" Target="https://www.pib.gov.in/PressReleasePage.aspx?PRID=2082528" TargetMode="External"/><Relationship Id="rId45" Type="http://schemas.openxmlformats.org/officeDocument/2006/relationships/hyperlink" Target="https://icapcarbonaction.com/en/news/india-notifies-emission-intensity-targets-nine-sectors-under-carbon-credit-trading-sche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beeindia.gov.in/sites/default/files/Detailed%20Procedure%20for%20Compliance%20Mechanism.pdf" TargetMode="External"/><Relationship Id="rId47" Type="http://schemas.openxmlformats.org/officeDocument/2006/relationships/hyperlink" Target="https://www.beeindia.gov.in/carbon-market.php" TargetMode="External"/><Relationship Id="rId49" Type="http://schemas.openxmlformats.org/officeDocument/2006/relationships/hyperlink" Target="https://sdgs.un.org/partnerships/gold-standard-global-goals-best-practice-standard-quantify-certify-and-maximize-impact" TargetMode="External"/><Relationship Id="rId5" Type="http://schemas.openxmlformats.org/officeDocument/2006/relationships/styles" Target="styles.xml"/><Relationship Id="rId6" Type="http://schemas.openxmlformats.org/officeDocument/2006/relationships/hyperlink" Target="https://ghgprotocol.org/scope-2-guidance" TargetMode="External"/><Relationship Id="rId7" Type="http://schemas.openxmlformats.org/officeDocument/2006/relationships/hyperlink" Target="https://www.iso.org/standard/66453.html" TargetMode="External"/><Relationship Id="rId8" Type="http://schemas.openxmlformats.org/officeDocument/2006/relationships/image" Target="media/image1.png"/><Relationship Id="rId31" Type="http://schemas.openxmlformats.org/officeDocument/2006/relationships/hyperlink" Target="https://www.moeveglobal.com/stfls/corporativo/FICHEROS/iso14064-report-ep-rkf2021-220611.pdf" TargetMode="External"/><Relationship Id="rId30" Type="http://schemas.openxmlformats.org/officeDocument/2006/relationships/hyperlink" Target="https://www.mofo.com/resources/insights/250626-proposed-changes-to-ghg-protocol-scope-2-guidelines" TargetMode="External"/><Relationship Id="rId33" Type="http://schemas.openxmlformats.org/officeDocument/2006/relationships/hyperlink" Target="https://supplychain.edf.org/resources/iso-14064-12018-greenhouse-gases-part-1-specification-with-guidance-at-the-organization-level-for-quantification-and-reporting-of-greenhouse-gas-emissions-and-removals/" TargetMode="External"/><Relationship Id="rId32" Type="http://schemas.openxmlformats.org/officeDocument/2006/relationships/hyperlink" Target="https://asuene.com/uk/blog/understanding-iso-14064-a-comprehensive-guide-for-businesses" TargetMode="External"/><Relationship Id="rId35" Type="http://schemas.openxmlformats.org/officeDocument/2006/relationships/hyperlink" Target="https://www.gicvn.vn/services/quantification-and-reporting-of-greenhouse-gas-iso-14064-1-ghg.html" TargetMode="External"/><Relationship Id="rId34" Type="http://schemas.openxmlformats.org/officeDocument/2006/relationships/hyperlink" Target="https://greenly.earth/en-us/blog/company-guide/iso-14064-objectives-and-requirements" TargetMode="External"/><Relationship Id="rId37" Type="http://schemas.openxmlformats.org/officeDocument/2006/relationships/hyperlink" Target="https://blog.ansi.org/ansi/iso-14064-2019-greenhouse-gas-ghg-emissions/" TargetMode="External"/><Relationship Id="rId36" Type="http://schemas.openxmlformats.org/officeDocument/2006/relationships/hyperlink" Target="https://www.ditan.com/static/upload/file/20240419/1713505579197549.pdf" TargetMode="External"/><Relationship Id="rId39" Type="http://schemas.openxmlformats.org/officeDocument/2006/relationships/hyperlink" Target="https://www.sgs.com/en/news/2024/07/defining-iso-14064-1-and-its-benefits" TargetMode="External"/><Relationship Id="rId38" Type="http://schemas.openxmlformats.org/officeDocument/2006/relationships/hyperlink" Target="https://plana.earth/academy/iso-14064" TargetMode="External"/><Relationship Id="rId62" Type="http://schemas.openxmlformats.org/officeDocument/2006/relationships/hyperlink" Target="https://verra.org/program-methodology/vcs-program-standard/vcs-program-methodologies-active/" TargetMode="External"/><Relationship Id="rId61" Type="http://schemas.openxmlformats.org/officeDocument/2006/relationships/hyperlink" Target="https://verra.org/program-methodology/vcs-program-standard/overview/" TargetMode="External"/><Relationship Id="rId20" Type="http://schemas.openxmlformats.org/officeDocument/2006/relationships/hyperlink" Target="https://ghgprotocol.org/sites/default/files/2023-12/scope-2-proposal-summary.pdf" TargetMode="External"/><Relationship Id="rId64" Type="http://schemas.openxmlformats.org/officeDocument/2006/relationships/hyperlink" Target="https://gspp.berkeley.edu/assets/uploads/page/Quality-Assessment-of-VM0048--July-2024--BCTP-Policy-Brief.pdf" TargetMode="External"/><Relationship Id="rId63" Type="http://schemas.openxmlformats.org/officeDocument/2006/relationships/hyperlink" Target="https://icvcm.org/wp-content/uploads/2024/04/VCS-Copy-of-Application.pdf" TargetMode="External"/><Relationship Id="rId22" Type="http://schemas.openxmlformats.org/officeDocument/2006/relationships/hyperlink" Target="https://ghgprotocol.org/sites/default/files/2025-01/S2-RevisionGuideFramework-20241216.pdf" TargetMode="External"/><Relationship Id="rId21" Type="http://schemas.openxmlformats.org/officeDocument/2006/relationships/hyperlink" Target="https://www.insideenergyandenvironment.com/2025/11/the-greenhouse-gas-protocols-proposed-scope-2-guidance-key-changes-and-considerations-for-stakeholders/" TargetMode="External"/><Relationship Id="rId65" Type="http://schemas.openxmlformats.org/officeDocument/2006/relationships/hyperlink" Target="https://www.imlcarbon.com/comparison-of-mrv-methodologies-between-verra-and-gold-standard-in-voluntary-carbon-projects/" TargetMode="External"/><Relationship Id="rId24" Type="http://schemas.openxmlformats.org/officeDocument/2006/relationships/hyperlink" Target="https://ghgprotocol.org/sites/default/files/2022-12/Scope2_ExecSum_Final.pdf" TargetMode="External"/><Relationship Id="rId23" Type="http://schemas.openxmlformats.org/officeDocument/2006/relationships/hyperlink" Target="https://dart.deloitte.com/USDART/home/publications/deloitte/additional-deloitte-guidance/greenhouse-gas-protocol-reporting-considerations/chapter-5-ghg-protocol-scope-2/5-7-reporting" TargetMode="External"/><Relationship Id="rId60" Type="http://schemas.openxmlformats.org/officeDocument/2006/relationships/hyperlink" Target="https://verra.org/programs/verified-carbon-standard/vcs-program-details/" TargetMode="External"/><Relationship Id="rId26" Type="http://schemas.openxmlformats.org/officeDocument/2006/relationships/hyperlink" Target="https://ghgprotocol.org/sites/default/files/Scope%202%20Public%20Consultation%20Workshop.pdf" TargetMode="External"/><Relationship Id="rId25" Type="http://schemas.openxmlformats.org/officeDocument/2006/relationships/hyperlink" Target="https://ghgprotocol.org/sites/default/files/2023-05/GHGP%20scope%202%20training%20%28Part%201%29.pdf" TargetMode="External"/><Relationship Id="rId28" Type="http://schemas.openxmlformats.org/officeDocument/2006/relationships/hyperlink" Target="https://www.ramboll.com/insights/decarbonise-for-net-zero/proposed-changes-to-the-ghg-protocol-scope-2-guidance" TargetMode="External"/><Relationship Id="rId27" Type="http://schemas.openxmlformats.org/officeDocument/2006/relationships/hyperlink" Target="https://ghgprotocol.org/scope-2-frequently-asked-questions" TargetMode="External"/><Relationship Id="rId29" Type="http://schemas.openxmlformats.org/officeDocument/2006/relationships/hyperlink" Target="https://www.fedcenter.gov/Bookmarks/index.cfm?id=33494" TargetMode="External"/><Relationship Id="rId51" Type="http://schemas.openxmlformats.org/officeDocument/2006/relationships/hyperlink" Target="https://globalgoals.goldstandard.org/all-standards/" TargetMode="External"/><Relationship Id="rId50" Type="http://schemas.openxmlformats.org/officeDocument/2006/relationships/hyperlink" Target="https://globalgoals.goldstandard.org/standards/202_V1.0_TC_AR_Renewable-Energy-Activity-Requirements.pdf" TargetMode="External"/><Relationship Id="rId53" Type="http://schemas.openxmlformats.org/officeDocument/2006/relationships/hyperlink" Target="https://globalgoals.goldstandard.org/all-documents/" TargetMode="External"/><Relationship Id="rId52" Type="http://schemas.openxmlformats.org/officeDocument/2006/relationships/hyperlink" Target="https://globalgoals.goldstandard.org/" TargetMode="External"/><Relationship Id="rId11" Type="http://schemas.openxmlformats.org/officeDocument/2006/relationships/image" Target="media/image5.png"/><Relationship Id="rId55" Type="http://schemas.openxmlformats.org/officeDocument/2006/relationships/hyperlink" Target="https://globalgoals.goldstandard.org/400-sdg-impact-quantification/" TargetMode="External"/><Relationship Id="rId10" Type="http://schemas.openxmlformats.org/officeDocument/2006/relationships/image" Target="media/image6.png"/><Relationship Id="rId54" Type="http://schemas.openxmlformats.org/officeDocument/2006/relationships/hyperlink" Target="https://globalgoals.goldstandard.org/standards/202_V1.4_AR-Renewable-Energy-Activity-Requirements.pdf" TargetMode="External"/><Relationship Id="rId13" Type="http://schemas.openxmlformats.org/officeDocument/2006/relationships/image" Target="media/image7.png"/><Relationship Id="rId57" Type="http://schemas.openxmlformats.org/officeDocument/2006/relationships/hyperlink" Target="https://www.carbonibus.org/post/verra-vcs-vs-gold-standard" TargetMode="External"/><Relationship Id="rId12" Type="http://schemas.openxmlformats.org/officeDocument/2006/relationships/hyperlink" Target="https://www.beeindia.gov.in/carbon-market.php" TargetMode="External"/><Relationship Id="rId56" Type="http://schemas.openxmlformats.org/officeDocument/2006/relationships/hyperlink" Target="https://www.sustain-cert.com/news/what-are-verra-and-the-verified-carbon-standard" TargetMode="External"/><Relationship Id="rId15" Type="http://schemas.openxmlformats.org/officeDocument/2006/relationships/image" Target="media/image4.png"/><Relationship Id="rId59" Type="http://schemas.openxmlformats.org/officeDocument/2006/relationships/hyperlink" Target="https://www.scribd.com/document/714328435/VCS-Standard-v4-5-Updated-11-Dec-2023" TargetMode="External"/><Relationship Id="rId14" Type="http://schemas.openxmlformats.org/officeDocument/2006/relationships/image" Target="media/image3.png"/><Relationship Id="rId58" Type="http://schemas.openxmlformats.org/officeDocument/2006/relationships/hyperlink" Target="https://verra.org/programs/verified-carbon-standard/" TargetMode="External"/><Relationship Id="rId17" Type="http://schemas.openxmlformats.org/officeDocument/2006/relationships/hyperlink" Target="https://verra.org/program-methodology/vcs-program-standard/" TargetMode="External"/><Relationship Id="rId16" Type="http://schemas.openxmlformats.org/officeDocument/2006/relationships/hyperlink" Target="https://globalgoals.goldstandard.org/all-standards/" TargetMode="External"/><Relationship Id="rId19" Type="http://schemas.openxmlformats.org/officeDocument/2006/relationships/hyperlink" Target="https://ghgprotocol.org/sites/default/files/2025-01/S2-SDP-20241220.pdf" TargetMode="External"/><Relationship Id="rId18" Type="http://schemas.openxmlformats.org/officeDocument/2006/relationships/hyperlink" Target="https://ghgprotocol.org/scope-2-guid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