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HR Employee Attrition Analysis Report</w:t>
      </w:r>
    </w:p>
    <w:p>
      <w:pPr>
        <w:jc w:val="center"/>
      </w:pPr>
      <w:r>
        <w:rPr>
          <w:i/>
          <w:sz w:val="24"/>
        </w:rPr>
        <w:t>Excel Dashboard and Business Insights</w:t>
      </w:r>
    </w:p>
    <w:p>
      <w:pPr>
        <w:pStyle w:val="Heading1"/>
      </w:pPr>
      <w:r>
        <w:t>1. Executive Summary</w:t>
      </w:r>
    </w:p>
    <w:p>
      <w:r>
        <w:t>This project analyzes employee attrition using an HR employee dataset of 1,470 records. The objective is to identify which employee groups have higher attrition and what factors may be associated with employees leaving the organization. The analysis was completed in Microsoft Excel using pivot tables, calculated attrition rates, KPI cards, and dashboard charts.</w:t>
      </w:r>
    </w:p>
    <w:p>
      <w:r>
        <w:t>The overall attrition rate is 16.12%. The strongest attrition signals were found among employees working overtime, employees under 30, single employees, and Sales Representative job roles.</w:t>
      </w:r>
    </w:p>
    <w:p>
      <w:pPr>
        <w:pStyle w:val="Heading1"/>
      </w:pPr>
      <w:r>
        <w:t>2. Key Performance Indicators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after="0"/>
              <w:jc w:val="center"/>
            </w:pPr>
            <w:r>
              <w:rPr>
                <w:b/>
                <w:color w:val="FFFFFF"/>
                <w:sz w:val="18"/>
              </w:rPr>
            </w:r>
            <w:r>
              <w:rPr>
                <w:b/>
                <w:color w:val="FFFFFF"/>
                <w:sz w:val="18"/>
              </w:rPr>
              <w:t>Metric</w:t>
            </w:r>
          </w:p>
        </w:tc>
        <w:tc>
          <w:tcPr>
            <w:tcW w:type="dxa" w:w="3456"/>
            <w:vAlign w:val="center"/>
            <w:shd w:fill="1F4E79"/>
          </w:tcPr>
          <w:p>
            <w:pPr>
              <w:spacing w:after="0"/>
              <w:jc w:val="center"/>
            </w:pPr>
            <w:r>
              <w:rPr>
                <w:b/>
                <w:color w:val="FFFFFF"/>
                <w:sz w:val="18"/>
              </w:rPr>
            </w:r>
            <w:r>
              <w:rPr>
                <w:b/>
                <w:color w:val="FFFFFF"/>
                <w:sz w:val="18"/>
              </w:rPr>
              <w:t>Value</w:t>
            </w:r>
          </w:p>
        </w:tc>
        <w:tc>
          <w:tcPr>
            <w:tcW w:type="dxa" w:w="3456"/>
            <w:vAlign w:val="center"/>
            <w:shd w:fill="1F4E79"/>
          </w:tcPr>
          <w:p>
            <w:pPr>
              <w:spacing w:after="0"/>
              <w:jc w:val="center"/>
            </w:pPr>
            <w:r>
              <w:rPr>
                <w:b/>
                <w:color w:val="FFFFFF"/>
                <w:sz w:val="18"/>
              </w:rPr>
            </w:r>
            <w:r>
              <w:rPr>
                <w:b/>
                <w:color w:val="FFFFFF"/>
                <w:sz w:val="18"/>
              </w:rPr>
              <w:t>Business Meaning</w:t>
            </w:r>
          </w:p>
        </w:tc>
      </w:tr>
      <w:tr>
        <w:tc>
          <w:tcPr>
            <w:tcW w:type="dxa" w:w="3456"/>
            <w:vAlign w:val="center"/>
          </w:tcPr>
          <w:p>
            <w:pPr>
              <w:spacing w:after="0"/>
              <w:jc w:val="center"/>
            </w:pPr>
            <w:r>
              <w:rPr>
                <w:sz w:val="18"/>
              </w:rPr>
              <w:t>Total Employees</w:t>
            </w:r>
          </w:p>
        </w:tc>
        <w:tc>
          <w:tcPr>
            <w:tcW w:type="dxa" w:w="3456"/>
            <w:vAlign w:val="center"/>
          </w:tcPr>
          <w:p>
            <w:pPr>
              <w:spacing w:after="0"/>
              <w:jc w:val="center"/>
            </w:pPr>
            <w:r>
              <w:rPr>
                <w:sz w:val="18"/>
              </w:rPr>
              <w:t>1,470</w:t>
            </w:r>
          </w:p>
        </w:tc>
        <w:tc>
          <w:tcPr>
            <w:tcW w:type="dxa" w:w="3456"/>
            <w:vAlign w:val="center"/>
          </w:tcPr>
          <w:p>
            <w:pPr>
              <w:spacing w:after="0"/>
              <w:jc w:val="center"/>
            </w:pPr>
            <w:r>
              <w:rPr>
                <w:sz w:val="18"/>
              </w:rPr>
              <w:t>Total employee records analyzed</w:t>
            </w:r>
          </w:p>
        </w:tc>
      </w:tr>
      <w:tr>
        <w:tc>
          <w:tcPr>
            <w:tcW w:type="dxa" w:w="3456"/>
            <w:vAlign w:val="center"/>
          </w:tcPr>
          <w:p>
            <w:pPr>
              <w:spacing w:after="0"/>
              <w:jc w:val="center"/>
            </w:pPr>
            <w:r>
              <w:rPr>
                <w:sz w:val="18"/>
              </w:rPr>
              <w:t>Employees Left</w:t>
            </w:r>
          </w:p>
        </w:tc>
        <w:tc>
          <w:tcPr>
            <w:tcW w:type="dxa" w:w="3456"/>
            <w:vAlign w:val="center"/>
          </w:tcPr>
          <w:p>
            <w:pPr>
              <w:spacing w:after="0"/>
              <w:jc w:val="center"/>
            </w:pPr>
            <w:r>
              <w:rPr>
                <w:sz w:val="18"/>
              </w:rPr>
              <w:t>237</w:t>
            </w:r>
          </w:p>
        </w:tc>
        <w:tc>
          <w:tcPr>
            <w:tcW w:type="dxa" w:w="3456"/>
            <w:vAlign w:val="center"/>
          </w:tcPr>
          <w:p>
            <w:pPr>
              <w:spacing w:after="0"/>
              <w:jc w:val="center"/>
            </w:pPr>
            <w:r>
              <w:rPr>
                <w:sz w:val="18"/>
              </w:rPr>
              <w:t>Employees with Attrition = Yes</w:t>
            </w:r>
          </w:p>
        </w:tc>
      </w:tr>
      <w:tr>
        <w:tc>
          <w:tcPr>
            <w:tcW w:type="dxa" w:w="3456"/>
            <w:vAlign w:val="center"/>
          </w:tcPr>
          <w:p>
            <w:pPr>
              <w:spacing w:after="0"/>
              <w:jc w:val="center"/>
            </w:pPr>
            <w:r>
              <w:rPr>
                <w:sz w:val="18"/>
              </w:rPr>
              <w:t>Active Employees</w:t>
            </w:r>
          </w:p>
        </w:tc>
        <w:tc>
          <w:tcPr>
            <w:tcW w:type="dxa" w:w="3456"/>
            <w:vAlign w:val="center"/>
          </w:tcPr>
          <w:p>
            <w:pPr>
              <w:spacing w:after="0"/>
              <w:jc w:val="center"/>
            </w:pPr>
            <w:r>
              <w:rPr>
                <w:sz w:val="18"/>
              </w:rPr>
              <w:t>1,233</w:t>
            </w:r>
          </w:p>
        </w:tc>
        <w:tc>
          <w:tcPr>
            <w:tcW w:type="dxa" w:w="3456"/>
            <w:vAlign w:val="center"/>
          </w:tcPr>
          <w:p>
            <w:pPr>
              <w:spacing w:after="0"/>
              <w:jc w:val="center"/>
            </w:pPr>
            <w:r>
              <w:rPr>
                <w:sz w:val="18"/>
              </w:rPr>
              <w:t>Employees with Attrition = No</w:t>
            </w:r>
          </w:p>
        </w:tc>
      </w:tr>
      <w:tr>
        <w:tc>
          <w:tcPr>
            <w:tcW w:type="dxa" w:w="3456"/>
            <w:vAlign w:val="center"/>
          </w:tcPr>
          <w:p>
            <w:pPr>
              <w:spacing w:after="0"/>
              <w:jc w:val="center"/>
            </w:pPr>
            <w:r>
              <w:rPr>
                <w:sz w:val="18"/>
              </w:rPr>
              <w:t>Overall Attrition Rate</w:t>
            </w:r>
          </w:p>
        </w:tc>
        <w:tc>
          <w:tcPr>
            <w:tcW w:type="dxa" w:w="3456"/>
            <w:vAlign w:val="center"/>
          </w:tcPr>
          <w:p>
            <w:pPr>
              <w:spacing w:after="0"/>
              <w:jc w:val="center"/>
            </w:pPr>
            <w:r>
              <w:rPr>
                <w:sz w:val="18"/>
              </w:rPr>
              <w:t>16.12%</w:t>
            </w:r>
          </w:p>
        </w:tc>
        <w:tc>
          <w:tcPr>
            <w:tcW w:type="dxa" w:w="3456"/>
            <w:vAlign w:val="center"/>
          </w:tcPr>
          <w:p>
            <w:pPr>
              <w:spacing w:after="0"/>
              <w:jc w:val="center"/>
            </w:pPr>
            <w:r>
              <w:rPr>
                <w:sz w:val="18"/>
              </w:rPr>
              <w:t>Percentage of employees who left</w:t>
            </w:r>
          </w:p>
        </w:tc>
      </w:tr>
    </w:tbl>
    <w:p>
      <w:pPr>
        <w:pStyle w:val="Heading1"/>
      </w:pPr>
      <w:r>
        <w:t>3. Dataset Overview</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0"/>
              <w:jc w:val="center"/>
            </w:pPr>
            <w:r>
              <w:rPr>
                <w:b/>
                <w:color w:val="FFFFFF"/>
                <w:sz w:val="18"/>
              </w:rPr>
            </w:r>
            <w:r>
              <w:rPr>
                <w:b/>
                <w:color w:val="FFFFFF"/>
                <w:sz w:val="18"/>
              </w:rPr>
              <w:t>Item</w:t>
            </w:r>
          </w:p>
        </w:tc>
        <w:tc>
          <w:tcPr>
            <w:tcW w:type="dxa" w:w="5184"/>
            <w:vAlign w:val="center"/>
            <w:shd w:fill="1F4E79"/>
          </w:tcPr>
          <w:p>
            <w:pPr>
              <w:spacing w:after="0"/>
              <w:jc w:val="center"/>
            </w:pPr>
            <w:r>
              <w:rPr>
                <w:b/>
                <w:color w:val="FFFFFF"/>
                <w:sz w:val="18"/>
              </w:rPr>
            </w:r>
            <w:r>
              <w:rPr>
                <w:b/>
                <w:color w:val="FFFFFF"/>
                <w:sz w:val="18"/>
              </w:rPr>
              <w:t>Description</w:t>
            </w:r>
          </w:p>
        </w:tc>
      </w:tr>
      <w:tr>
        <w:tc>
          <w:tcPr>
            <w:tcW w:type="dxa" w:w="5184"/>
            <w:vAlign w:val="center"/>
          </w:tcPr>
          <w:p>
            <w:pPr>
              <w:spacing w:after="0"/>
              <w:jc w:val="center"/>
            </w:pPr>
            <w:r>
              <w:rPr>
                <w:sz w:val="18"/>
              </w:rPr>
              <w:t>Dataset</w:t>
            </w:r>
          </w:p>
        </w:tc>
        <w:tc>
          <w:tcPr>
            <w:tcW w:type="dxa" w:w="5184"/>
            <w:vAlign w:val="center"/>
          </w:tcPr>
          <w:p>
            <w:pPr>
              <w:spacing w:after="0"/>
              <w:jc w:val="center"/>
            </w:pPr>
            <w:r>
              <w:rPr>
                <w:sz w:val="18"/>
              </w:rPr>
              <w:t>HR Employee Attrition dataset</w:t>
            </w:r>
          </w:p>
        </w:tc>
      </w:tr>
      <w:tr>
        <w:tc>
          <w:tcPr>
            <w:tcW w:type="dxa" w:w="5184"/>
            <w:vAlign w:val="center"/>
          </w:tcPr>
          <w:p>
            <w:pPr>
              <w:spacing w:after="0"/>
              <w:jc w:val="center"/>
            </w:pPr>
            <w:r>
              <w:rPr>
                <w:sz w:val="18"/>
              </w:rPr>
              <w:t>Rows</w:t>
            </w:r>
          </w:p>
        </w:tc>
        <w:tc>
          <w:tcPr>
            <w:tcW w:type="dxa" w:w="5184"/>
            <w:vAlign w:val="center"/>
          </w:tcPr>
          <w:p>
            <w:pPr>
              <w:spacing w:after="0"/>
              <w:jc w:val="center"/>
            </w:pPr>
            <w:r>
              <w:rPr>
                <w:sz w:val="18"/>
              </w:rPr>
              <w:t>1,470 employee records</w:t>
            </w:r>
          </w:p>
        </w:tc>
      </w:tr>
      <w:tr>
        <w:tc>
          <w:tcPr>
            <w:tcW w:type="dxa" w:w="5184"/>
            <w:vAlign w:val="center"/>
          </w:tcPr>
          <w:p>
            <w:pPr>
              <w:spacing w:after="0"/>
              <w:jc w:val="center"/>
            </w:pPr>
            <w:r>
              <w:rPr>
                <w:sz w:val="18"/>
              </w:rPr>
              <w:t>Columns</w:t>
            </w:r>
          </w:p>
        </w:tc>
        <w:tc>
          <w:tcPr>
            <w:tcW w:type="dxa" w:w="5184"/>
            <w:vAlign w:val="center"/>
          </w:tcPr>
          <w:p>
            <w:pPr>
              <w:spacing w:after="0"/>
              <w:jc w:val="center"/>
            </w:pPr>
            <w:r>
              <w:rPr>
                <w:sz w:val="18"/>
              </w:rPr>
              <w:t>35 HR-related fields</w:t>
            </w:r>
          </w:p>
        </w:tc>
      </w:tr>
      <w:tr>
        <w:tc>
          <w:tcPr>
            <w:tcW w:type="dxa" w:w="5184"/>
            <w:vAlign w:val="center"/>
          </w:tcPr>
          <w:p>
            <w:pPr>
              <w:spacing w:after="0"/>
              <w:jc w:val="center"/>
            </w:pPr>
            <w:r>
              <w:rPr>
                <w:sz w:val="18"/>
              </w:rPr>
              <w:t>Important Fields</w:t>
            </w:r>
          </w:p>
        </w:tc>
        <w:tc>
          <w:tcPr>
            <w:tcW w:type="dxa" w:w="5184"/>
            <w:vAlign w:val="center"/>
          </w:tcPr>
          <w:p>
            <w:pPr>
              <w:spacing w:after="0"/>
              <w:jc w:val="center"/>
            </w:pPr>
            <w:r>
              <w:rPr>
                <w:sz w:val="18"/>
              </w:rPr>
              <w:t>Age, Attrition, Department, Gender, JobRole, MonthlyIncome, OverTime, YearsAtCompany, JobSatisfaction, WorkLifeBalance</w:t>
            </w:r>
          </w:p>
        </w:tc>
      </w:tr>
      <w:tr>
        <w:tc>
          <w:tcPr>
            <w:tcW w:type="dxa" w:w="5184"/>
            <w:vAlign w:val="center"/>
          </w:tcPr>
          <w:p>
            <w:pPr>
              <w:spacing w:after="0"/>
              <w:jc w:val="center"/>
            </w:pPr>
            <w:r>
              <w:rPr>
                <w:sz w:val="18"/>
              </w:rPr>
              <w:t>Tool Used</w:t>
            </w:r>
          </w:p>
        </w:tc>
        <w:tc>
          <w:tcPr>
            <w:tcW w:type="dxa" w:w="5184"/>
            <w:vAlign w:val="center"/>
          </w:tcPr>
          <w:p>
            <w:pPr>
              <w:spacing w:after="0"/>
              <w:jc w:val="center"/>
            </w:pPr>
            <w:r>
              <w:rPr>
                <w:sz w:val="18"/>
              </w:rPr>
              <w:t>Microsoft Excel</w:t>
            </w:r>
          </w:p>
        </w:tc>
      </w:tr>
    </w:tbl>
    <w:p>
      <w:pPr>
        <w:pStyle w:val="Heading1"/>
      </w:pPr>
      <w:r>
        <w:t>4. Methodology</w:t>
      </w:r>
    </w:p>
    <w:p>
      <w:pPr>
        <w:pStyle w:val="ListBullet"/>
      </w:pPr>
      <w:r>
        <w:t>Created pivot tables to summarize attrition by employee groups.</w:t>
      </w:r>
    </w:p>
    <w:p>
      <w:pPr>
        <w:pStyle w:val="ListBullet"/>
      </w:pPr>
      <w:r>
        <w:t>Calculated attrition rate using: Employees Left / Total Employees.</w:t>
      </w:r>
    </w:p>
    <w:p>
      <w:pPr>
        <w:pStyle w:val="ListBullet"/>
      </w:pPr>
      <w:r>
        <w:t>Compared attrition rates instead of only attrition counts, because departments and job roles have different employee sizes.</w:t>
      </w:r>
    </w:p>
    <w:p>
      <w:pPr>
        <w:pStyle w:val="ListBullet"/>
      </w:pPr>
      <w:r>
        <w:t>Built dashboard visuals for Department, Job Role, OverTime, Age Group, Gender, and Marital Status.</w:t>
      </w:r>
    </w:p>
    <w:p>
      <w:pPr>
        <w:pStyle w:val="Heading1"/>
      </w:pPr>
      <w:r>
        <w:t>5. Detailed Findings</w:t>
      </w:r>
    </w:p>
    <w:p>
      <w:pPr>
        <w:pStyle w:val="Heading2"/>
      </w:pPr>
      <w:r>
        <w:t>5.1 Attrition by Department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9"/>
          </w:tcPr>
          <w:p>
            <w:pPr>
              <w:spacing w:after="0"/>
              <w:jc w:val="center"/>
            </w:pPr>
            <w:r>
              <w:rPr>
                <w:b/>
                <w:color w:val="FFFFFF"/>
                <w:sz w:val="18"/>
              </w:rPr>
            </w:r>
            <w:r>
              <w:rPr>
                <w:b/>
                <w:color w:val="FFFFFF"/>
                <w:sz w:val="18"/>
              </w:rPr>
              <w:t>Department</w:t>
            </w:r>
          </w:p>
        </w:tc>
        <w:tc>
          <w:tcPr>
            <w:tcW w:type="dxa" w:w="2074"/>
            <w:vAlign w:val="center"/>
            <w:shd w:fill="1F4E79"/>
          </w:tcPr>
          <w:p>
            <w:pPr>
              <w:spacing w:after="0"/>
              <w:jc w:val="center"/>
            </w:pPr>
            <w:r>
              <w:rPr>
                <w:b/>
                <w:color w:val="FFFFFF"/>
                <w:sz w:val="18"/>
              </w:rPr>
            </w:r>
            <w:r>
              <w:rPr>
                <w:b/>
                <w:color w:val="FFFFFF"/>
                <w:sz w:val="18"/>
              </w:rPr>
              <w:t>Stayed</w:t>
            </w:r>
          </w:p>
        </w:tc>
        <w:tc>
          <w:tcPr>
            <w:tcW w:type="dxa" w:w="2074"/>
            <w:vAlign w:val="center"/>
            <w:shd w:fill="1F4E79"/>
          </w:tcPr>
          <w:p>
            <w:pPr>
              <w:spacing w:after="0"/>
              <w:jc w:val="center"/>
            </w:pPr>
            <w:r>
              <w:rPr>
                <w:b/>
                <w:color w:val="FFFFFF"/>
                <w:sz w:val="18"/>
              </w:rPr>
            </w:r>
            <w:r>
              <w:rPr>
                <w:b/>
                <w:color w:val="FFFFFF"/>
                <w:sz w:val="18"/>
              </w:rPr>
              <w:t>Left</w:t>
            </w:r>
          </w:p>
        </w:tc>
        <w:tc>
          <w:tcPr>
            <w:tcW w:type="dxa" w:w="2074"/>
            <w:vAlign w:val="center"/>
            <w:shd w:fill="1F4E79"/>
          </w:tcPr>
          <w:p>
            <w:pPr>
              <w:spacing w:after="0"/>
              <w:jc w:val="center"/>
            </w:pPr>
            <w:r>
              <w:rPr>
                <w:b/>
                <w:color w:val="FFFFFF"/>
                <w:sz w:val="18"/>
              </w:rPr>
            </w:r>
            <w:r>
              <w:rPr>
                <w:b/>
                <w:color w:val="FFFFFF"/>
                <w:sz w:val="18"/>
              </w:rPr>
              <w:t>Total Employees</w:t>
            </w:r>
          </w:p>
        </w:tc>
        <w:tc>
          <w:tcPr>
            <w:tcW w:type="dxa" w:w="2074"/>
            <w:vAlign w:val="center"/>
            <w:shd w:fill="1F4E79"/>
          </w:tcPr>
          <w:p>
            <w:pPr>
              <w:spacing w:after="0"/>
              <w:jc w:val="center"/>
            </w:pPr>
            <w:r>
              <w:rPr>
                <w:b/>
                <w:color w:val="FFFFFF"/>
                <w:sz w:val="18"/>
              </w:rPr>
            </w:r>
            <w:r>
              <w:rPr>
                <w:b/>
                <w:color w:val="FFFFFF"/>
                <w:sz w:val="18"/>
              </w:rPr>
              <w:t>Attrition Rate</w:t>
            </w:r>
          </w:p>
        </w:tc>
      </w:tr>
      <w:tr>
        <w:tc>
          <w:tcPr>
            <w:tcW w:type="dxa" w:w="2074"/>
            <w:vAlign w:val="center"/>
          </w:tcPr>
          <w:p>
            <w:pPr>
              <w:spacing w:after="0"/>
              <w:jc w:val="center"/>
            </w:pPr>
            <w:r>
              <w:rPr>
                <w:sz w:val="18"/>
              </w:rPr>
              <w:t>Human Resources</w:t>
            </w:r>
          </w:p>
        </w:tc>
        <w:tc>
          <w:tcPr>
            <w:tcW w:type="dxa" w:w="2074"/>
            <w:vAlign w:val="center"/>
          </w:tcPr>
          <w:p>
            <w:pPr>
              <w:spacing w:after="0"/>
              <w:jc w:val="center"/>
            </w:pPr>
            <w:r>
              <w:rPr>
                <w:sz w:val="18"/>
              </w:rPr>
              <w:t>51</w:t>
            </w:r>
          </w:p>
        </w:tc>
        <w:tc>
          <w:tcPr>
            <w:tcW w:type="dxa" w:w="2074"/>
            <w:vAlign w:val="center"/>
          </w:tcPr>
          <w:p>
            <w:pPr>
              <w:spacing w:after="0"/>
              <w:jc w:val="center"/>
            </w:pPr>
            <w:r>
              <w:rPr>
                <w:sz w:val="18"/>
              </w:rPr>
              <w:t>12</w:t>
            </w:r>
          </w:p>
        </w:tc>
        <w:tc>
          <w:tcPr>
            <w:tcW w:type="dxa" w:w="2074"/>
            <w:vAlign w:val="center"/>
          </w:tcPr>
          <w:p>
            <w:pPr>
              <w:spacing w:after="0"/>
              <w:jc w:val="center"/>
            </w:pPr>
            <w:r>
              <w:rPr>
                <w:sz w:val="18"/>
              </w:rPr>
              <w:t>63</w:t>
            </w:r>
          </w:p>
        </w:tc>
        <w:tc>
          <w:tcPr>
            <w:tcW w:type="dxa" w:w="2074"/>
            <w:vAlign w:val="center"/>
          </w:tcPr>
          <w:p>
            <w:pPr>
              <w:spacing w:after="0"/>
              <w:jc w:val="center"/>
            </w:pPr>
            <w:r>
              <w:rPr>
                <w:sz w:val="18"/>
              </w:rPr>
              <w:t>19.05%</w:t>
            </w:r>
          </w:p>
        </w:tc>
      </w:tr>
      <w:tr>
        <w:tc>
          <w:tcPr>
            <w:tcW w:type="dxa" w:w="2074"/>
            <w:vAlign w:val="center"/>
          </w:tcPr>
          <w:p>
            <w:pPr>
              <w:spacing w:after="0"/>
              <w:jc w:val="center"/>
            </w:pPr>
            <w:r>
              <w:rPr>
                <w:sz w:val="18"/>
              </w:rPr>
              <w:t>Research &amp; Development</w:t>
            </w:r>
          </w:p>
        </w:tc>
        <w:tc>
          <w:tcPr>
            <w:tcW w:type="dxa" w:w="2074"/>
            <w:vAlign w:val="center"/>
          </w:tcPr>
          <w:p>
            <w:pPr>
              <w:spacing w:after="0"/>
              <w:jc w:val="center"/>
            </w:pPr>
            <w:r>
              <w:rPr>
                <w:sz w:val="18"/>
              </w:rPr>
              <w:t>828</w:t>
            </w:r>
          </w:p>
        </w:tc>
        <w:tc>
          <w:tcPr>
            <w:tcW w:type="dxa" w:w="2074"/>
            <w:vAlign w:val="center"/>
          </w:tcPr>
          <w:p>
            <w:pPr>
              <w:spacing w:after="0"/>
              <w:jc w:val="center"/>
            </w:pPr>
            <w:r>
              <w:rPr>
                <w:sz w:val="18"/>
              </w:rPr>
              <w:t>133</w:t>
            </w:r>
          </w:p>
        </w:tc>
        <w:tc>
          <w:tcPr>
            <w:tcW w:type="dxa" w:w="2074"/>
            <w:vAlign w:val="center"/>
          </w:tcPr>
          <w:p>
            <w:pPr>
              <w:spacing w:after="0"/>
              <w:jc w:val="center"/>
            </w:pPr>
            <w:r>
              <w:rPr>
                <w:sz w:val="18"/>
              </w:rPr>
              <w:t>961</w:t>
            </w:r>
          </w:p>
        </w:tc>
        <w:tc>
          <w:tcPr>
            <w:tcW w:type="dxa" w:w="2074"/>
            <w:vAlign w:val="center"/>
          </w:tcPr>
          <w:p>
            <w:pPr>
              <w:spacing w:after="0"/>
              <w:jc w:val="center"/>
            </w:pPr>
            <w:r>
              <w:rPr>
                <w:sz w:val="18"/>
              </w:rPr>
              <w:t>13.84%</w:t>
            </w:r>
          </w:p>
        </w:tc>
      </w:tr>
      <w:tr>
        <w:tc>
          <w:tcPr>
            <w:tcW w:type="dxa" w:w="2074"/>
            <w:vAlign w:val="center"/>
          </w:tcPr>
          <w:p>
            <w:pPr>
              <w:spacing w:after="0"/>
              <w:jc w:val="center"/>
            </w:pPr>
            <w:r>
              <w:rPr>
                <w:sz w:val="18"/>
              </w:rPr>
              <w:t>Sales</w:t>
            </w:r>
          </w:p>
        </w:tc>
        <w:tc>
          <w:tcPr>
            <w:tcW w:type="dxa" w:w="2074"/>
            <w:vAlign w:val="center"/>
          </w:tcPr>
          <w:p>
            <w:pPr>
              <w:spacing w:after="0"/>
              <w:jc w:val="center"/>
            </w:pPr>
            <w:r>
              <w:rPr>
                <w:sz w:val="18"/>
              </w:rPr>
              <w:t>354</w:t>
            </w:r>
          </w:p>
        </w:tc>
        <w:tc>
          <w:tcPr>
            <w:tcW w:type="dxa" w:w="2074"/>
            <w:vAlign w:val="center"/>
          </w:tcPr>
          <w:p>
            <w:pPr>
              <w:spacing w:after="0"/>
              <w:jc w:val="center"/>
            </w:pPr>
            <w:r>
              <w:rPr>
                <w:sz w:val="18"/>
              </w:rPr>
              <w:t>92</w:t>
            </w:r>
          </w:p>
        </w:tc>
        <w:tc>
          <w:tcPr>
            <w:tcW w:type="dxa" w:w="2074"/>
            <w:vAlign w:val="center"/>
          </w:tcPr>
          <w:p>
            <w:pPr>
              <w:spacing w:after="0"/>
              <w:jc w:val="center"/>
            </w:pPr>
            <w:r>
              <w:rPr>
                <w:sz w:val="18"/>
              </w:rPr>
              <w:t>446</w:t>
            </w:r>
          </w:p>
        </w:tc>
        <w:tc>
          <w:tcPr>
            <w:tcW w:type="dxa" w:w="2074"/>
            <w:vAlign w:val="center"/>
          </w:tcPr>
          <w:p>
            <w:pPr>
              <w:spacing w:after="0"/>
              <w:jc w:val="center"/>
            </w:pPr>
            <w:r>
              <w:rPr>
                <w:sz w:val="18"/>
              </w:rPr>
              <w:t>20.63%</w:t>
            </w:r>
          </w:p>
        </w:tc>
      </w:tr>
    </w:tbl>
    <w:p>
      <w:r>
        <w:rPr>
          <w:b/>
        </w:rPr>
        <w:t xml:space="preserve">Insight: </w:t>
      </w:r>
      <w:r>
        <w:t>Sales has the highest attrition rate at 20.63%. Research &amp; Development has the highest number of employees leaving, but Sales has the highest percentage of employees leaving.</w:t>
      </w:r>
    </w:p>
    <w:p>
      <w:pPr>
        <w:pStyle w:val="Heading2"/>
      </w:pPr>
      <w:r>
        <w:t>5.2 Attrition by Job Role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pPr>
              <w:spacing w:after="0"/>
              <w:jc w:val="center"/>
            </w:pPr>
            <w:r>
              <w:rPr>
                <w:b/>
                <w:color w:val="FFFFFF"/>
                <w:sz w:val="18"/>
              </w:rPr>
            </w:r>
            <w:r>
              <w:rPr>
                <w:b/>
                <w:color w:val="FFFFFF"/>
                <w:sz w:val="18"/>
              </w:rPr>
              <w:t>Job Role</w:t>
            </w:r>
          </w:p>
        </w:tc>
        <w:tc>
          <w:tcPr>
            <w:tcW w:type="dxa" w:w="2592"/>
            <w:vAlign w:val="center"/>
            <w:shd w:fill="1F4E79"/>
          </w:tcPr>
          <w:p>
            <w:pPr>
              <w:spacing w:after="0"/>
              <w:jc w:val="center"/>
            </w:pPr>
            <w:r>
              <w:rPr>
                <w:b/>
                <w:color w:val="FFFFFF"/>
                <w:sz w:val="18"/>
              </w:rPr>
            </w:r>
            <w:r>
              <w:rPr>
                <w:b/>
                <w:color w:val="FFFFFF"/>
                <w:sz w:val="18"/>
              </w:rPr>
              <w:t>Left</w:t>
            </w:r>
          </w:p>
        </w:tc>
        <w:tc>
          <w:tcPr>
            <w:tcW w:type="dxa" w:w="2592"/>
            <w:vAlign w:val="center"/>
            <w:shd w:fill="1F4E79"/>
          </w:tcPr>
          <w:p>
            <w:pPr>
              <w:spacing w:after="0"/>
              <w:jc w:val="center"/>
            </w:pPr>
            <w:r>
              <w:rPr>
                <w:b/>
                <w:color w:val="FFFFFF"/>
                <w:sz w:val="18"/>
              </w:rPr>
            </w:r>
            <w:r>
              <w:rPr>
                <w:b/>
                <w:color w:val="FFFFFF"/>
                <w:sz w:val="18"/>
              </w:rPr>
              <w:t>Total Employees</w:t>
            </w:r>
          </w:p>
        </w:tc>
        <w:tc>
          <w:tcPr>
            <w:tcW w:type="dxa" w:w="2592"/>
            <w:vAlign w:val="center"/>
            <w:shd w:fill="1F4E79"/>
          </w:tcPr>
          <w:p>
            <w:pPr>
              <w:spacing w:after="0"/>
              <w:jc w:val="center"/>
            </w:pPr>
            <w:r>
              <w:rPr>
                <w:b/>
                <w:color w:val="FFFFFF"/>
                <w:sz w:val="18"/>
              </w:rPr>
            </w:r>
            <w:r>
              <w:rPr>
                <w:b/>
                <w:color w:val="FFFFFF"/>
                <w:sz w:val="18"/>
              </w:rPr>
              <w:t>Attrition Rate</w:t>
            </w:r>
          </w:p>
        </w:tc>
      </w:tr>
      <w:tr>
        <w:tc>
          <w:tcPr>
            <w:tcW w:type="dxa" w:w="2592"/>
            <w:vAlign w:val="center"/>
          </w:tcPr>
          <w:p>
            <w:pPr>
              <w:spacing w:after="0"/>
              <w:jc w:val="center"/>
            </w:pPr>
            <w:r>
              <w:rPr>
                <w:sz w:val="18"/>
              </w:rPr>
              <w:t>Sales Representative</w:t>
            </w:r>
          </w:p>
        </w:tc>
        <w:tc>
          <w:tcPr>
            <w:tcW w:type="dxa" w:w="2592"/>
            <w:vAlign w:val="center"/>
          </w:tcPr>
          <w:p>
            <w:pPr>
              <w:spacing w:after="0"/>
              <w:jc w:val="center"/>
            </w:pPr>
            <w:r>
              <w:rPr>
                <w:sz w:val="18"/>
              </w:rPr>
              <w:t>33</w:t>
            </w:r>
          </w:p>
        </w:tc>
        <w:tc>
          <w:tcPr>
            <w:tcW w:type="dxa" w:w="2592"/>
            <w:vAlign w:val="center"/>
          </w:tcPr>
          <w:p>
            <w:pPr>
              <w:spacing w:after="0"/>
              <w:jc w:val="center"/>
            </w:pPr>
            <w:r>
              <w:rPr>
                <w:sz w:val="18"/>
              </w:rPr>
              <w:t>83</w:t>
            </w:r>
          </w:p>
        </w:tc>
        <w:tc>
          <w:tcPr>
            <w:tcW w:type="dxa" w:w="2592"/>
            <w:vAlign w:val="center"/>
          </w:tcPr>
          <w:p>
            <w:pPr>
              <w:spacing w:after="0"/>
              <w:jc w:val="center"/>
            </w:pPr>
            <w:r>
              <w:rPr>
                <w:sz w:val="18"/>
              </w:rPr>
              <w:t>39.76%</w:t>
            </w:r>
          </w:p>
        </w:tc>
      </w:tr>
      <w:tr>
        <w:tc>
          <w:tcPr>
            <w:tcW w:type="dxa" w:w="2592"/>
            <w:vAlign w:val="center"/>
          </w:tcPr>
          <w:p>
            <w:pPr>
              <w:spacing w:after="0"/>
              <w:jc w:val="center"/>
            </w:pPr>
            <w:r>
              <w:rPr>
                <w:sz w:val="18"/>
              </w:rPr>
              <w:t>Laboratory Technician</w:t>
            </w:r>
          </w:p>
        </w:tc>
        <w:tc>
          <w:tcPr>
            <w:tcW w:type="dxa" w:w="2592"/>
            <w:vAlign w:val="center"/>
          </w:tcPr>
          <w:p>
            <w:pPr>
              <w:spacing w:after="0"/>
              <w:jc w:val="center"/>
            </w:pPr>
            <w:r>
              <w:rPr>
                <w:sz w:val="18"/>
              </w:rPr>
              <w:t>62</w:t>
            </w:r>
          </w:p>
        </w:tc>
        <w:tc>
          <w:tcPr>
            <w:tcW w:type="dxa" w:w="2592"/>
            <w:vAlign w:val="center"/>
          </w:tcPr>
          <w:p>
            <w:pPr>
              <w:spacing w:after="0"/>
              <w:jc w:val="center"/>
            </w:pPr>
            <w:r>
              <w:rPr>
                <w:sz w:val="18"/>
              </w:rPr>
              <w:t>259</w:t>
            </w:r>
          </w:p>
        </w:tc>
        <w:tc>
          <w:tcPr>
            <w:tcW w:type="dxa" w:w="2592"/>
            <w:vAlign w:val="center"/>
          </w:tcPr>
          <w:p>
            <w:pPr>
              <w:spacing w:after="0"/>
              <w:jc w:val="center"/>
            </w:pPr>
            <w:r>
              <w:rPr>
                <w:sz w:val="18"/>
              </w:rPr>
              <w:t>23.94%</w:t>
            </w:r>
          </w:p>
        </w:tc>
      </w:tr>
      <w:tr>
        <w:tc>
          <w:tcPr>
            <w:tcW w:type="dxa" w:w="2592"/>
            <w:vAlign w:val="center"/>
          </w:tcPr>
          <w:p>
            <w:pPr>
              <w:spacing w:after="0"/>
              <w:jc w:val="center"/>
            </w:pPr>
            <w:r>
              <w:rPr>
                <w:sz w:val="18"/>
              </w:rPr>
              <w:t>Human Resources</w:t>
            </w:r>
          </w:p>
        </w:tc>
        <w:tc>
          <w:tcPr>
            <w:tcW w:type="dxa" w:w="2592"/>
            <w:vAlign w:val="center"/>
          </w:tcPr>
          <w:p>
            <w:pPr>
              <w:spacing w:after="0"/>
              <w:jc w:val="center"/>
            </w:pPr>
            <w:r>
              <w:rPr>
                <w:sz w:val="18"/>
              </w:rPr>
              <w:t>12</w:t>
            </w:r>
          </w:p>
        </w:tc>
        <w:tc>
          <w:tcPr>
            <w:tcW w:type="dxa" w:w="2592"/>
            <w:vAlign w:val="center"/>
          </w:tcPr>
          <w:p>
            <w:pPr>
              <w:spacing w:after="0"/>
              <w:jc w:val="center"/>
            </w:pPr>
            <w:r>
              <w:rPr>
                <w:sz w:val="18"/>
              </w:rPr>
              <w:t>52</w:t>
            </w:r>
          </w:p>
        </w:tc>
        <w:tc>
          <w:tcPr>
            <w:tcW w:type="dxa" w:w="2592"/>
            <w:vAlign w:val="center"/>
          </w:tcPr>
          <w:p>
            <w:pPr>
              <w:spacing w:after="0"/>
              <w:jc w:val="center"/>
            </w:pPr>
            <w:r>
              <w:rPr>
                <w:sz w:val="18"/>
              </w:rPr>
              <w:t>23.08%</w:t>
            </w:r>
          </w:p>
        </w:tc>
      </w:tr>
      <w:tr>
        <w:tc>
          <w:tcPr>
            <w:tcW w:type="dxa" w:w="2592"/>
            <w:vAlign w:val="center"/>
          </w:tcPr>
          <w:p>
            <w:pPr>
              <w:spacing w:after="0"/>
              <w:jc w:val="center"/>
            </w:pPr>
            <w:r>
              <w:rPr>
                <w:sz w:val="18"/>
              </w:rPr>
              <w:t>Sales Executive</w:t>
            </w:r>
          </w:p>
        </w:tc>
        <w:tc>
          <w:tcPr>
            <w:tcW w:type="dxa" w:w="2592"/>
            <w:vAlign w:val="center"/>
          </w:tcPr>
          <w:p>
            <w:pPr>
              <w:spacing w:after="0"/>
              <w:jc w:val="center"/>
            </w:pPr>
            <w:r>
              <w:rPr>
                <w:sz w:val="18"/>
              </w:rPr>
              <w:t>57</w:t>
            </w:r>
          </w:p>
        </w:tc>
        <w:tc>
          <w:tcPr>
            <w:tcW w:type="dxa" w:w="2592"/>
            <w:vAlign w:val="center"/>
          </w:tcPr>
          <w:p>
            <w:pPr>
              <w:spacing w:after="0"/>
              <w:jc w:val="center"/>
            </w:pPr>
            <w:r>
              <w:rPr>
                <w:sz w:val="18"/>
              </w:rPr>
              <w:t>326</w:t>
            </w:r>
          </w:p>
        </w:tc>
        <w:tc>
          <w:tcPr>
            <w:tcW w:type="dxa" w:w="2592"/>
            <w:vAlign w:val="center"/>
          </w:tcPr>
          <w:p>
            <w:pPr>
              <w:spacing w:after="0"/>
              <w:jc w:val="center"/>
            </w:pPr>
            <w:r>
              <w:rPr>
                <w:sz w:val="18"/>
              </w:rPr>
              <w:t>17.48%</w:t>
            </w:r>
          </w:p>
        </w:tc>
      </w:tr>
      <w:tr>
        <w:tc>
          <w:tcPr>
            <w:tcW w:type="dxa" w:w="2592"/>
            <w:vAlign w:val="center"/>
          </w:tcPr>
          <w:p>
            <w:pPr>
              <w:spacing w:after="0"/>
              <w:jc w:val="center"/>
            </w:pPr>
            <w:r>
              <w:rPr>
                <w:sz w:val="18"/>
              </w:rPr>
              <w:t>Research Scientist</w:t>
            </w:r>
          </w:p>
        </w:tc>
        <w:tc>
          <w:tcPr>
            <w:tcW w:type="dxa" w:w="2592"/>
            <w:vAlign w:val="center"/>
          </w:tcPr>
          <w:p>
            <w:pPr>
              <w:spacing w:after="0"/>
              <w:jc w:val="center"/>
            </w:pPr>
            <w:r>
              <w:rPr>
                <w:sz w:val="18"/>
              </w:rPr>
              <w:t>47</w:t>
            </w:r>
          </w:p>
        </w:tc>
        <w:tc>
          <w:tcPr>
            <w:tcW w:type="dxa" w:w="2592"/>
            <w:vAlign w:val="center"/>
          </w:tcPr>
          <w:p>
            <w:pPr>
              <w:spacing w:after="0"/>
              <w:jc w:val="center"/>
            </w:pPr>
            <w:r>
              <w:rPr>
                <w:sz w:val="18"/>
              </w:rPr>
              <w:t>292</w:t>
            </w:r>
          </w:p>
        </w:tc>
        <w:tc>
          <w:tcPr>
            <w:tcW w:type="dxa" w:w="2592"/>
            <w:vAlign w:val="center"/>
          </w:tcPr>
          <w:p>
            <w:pPr>
              <w:spacing w:after="0"/>
              <w:jc w:val="center"/>
            </w:pPr>
            <w:r>
              <w:rPr>
                <w:sz w:val="18"/>
              </w:rPr>
              <w:t>16.10%</w:t>
            </w:r>
          </w:p>
        </w:tc>
      </w:tr>
      <w:tr>
        <w:tc>
          <w:tcPr>
            <w:tcW w:type="dxa" w:w="2592"/>
            <w:vAlign w:val="center"/>
          </w:tcPr>
          <w:p>
            <w:pPr>
              <w:spacing w:after="0"/>
              <w:jc w:val="center"/>
            </w:pPr>
            <w:r>
              <w:rPr>
                <w:sz w:val="18"/>
              </w:rPr>
              <w:t>Manufacturing Director</w:t>
            </w:r>
          </w:p>
        </w:tc>
        <w:tc>
          <w:tcPr>
            <w:tcW w:type="dxa" w:w="2592"/>
            <w:vAlign w:val="center"/>
          </w:tcPr>
          <w:p>
            <w:pPr>
              <w:spacing w:after="0"/>
              <w:jc w:val="center"/>
            </w:pPr>
            <w:r>
              <w:rPr>
                <w:sz w:val="18"/>
              </w:rPr>
              <w:t>10</w:t>
            </w:r>
          </w:p>
        </w:tc>
        <w:tc>
          <w:tcPr>
            <w:tcW w:type="dxa" w:w="2592"/>
            <w:vAlign w:val="center"/>
          </w:tcPr>
          <w:p>
            <w:pPr>
              <w:spacing w:after="0"/>
              <w:jc w:val="center"/>
            </w:pPr>
            <w:r>
              <w:rPr>
                <w:sz w:val="18"/>
              </w:rPr>
              <w:t>145</w:t>
            </w:r>
          </w:p>
        </w:tc>
        <w:tc>
          <w:tcPr>
            <w:tcW w:type="dxa" w:w="2592"/>
            <w:vAlign w:val="center"/>
          </w:tcPr>
          <w:p>
            <w:pPr>
              <w:spacing w:after="0"/>
              <w:jc w:val="center"/>
            </w:pPr>
            <w:r>
              <w:rPr>
                <w:sz w:val="18"/>
              </w:rPr>
              <w:t>6.90%</w:t>
            </w:r>
          </w:p>
        </w:tc>
      </w:tr>
      <w:tr>
        <w:tc>
          <w:tcPr>
            <w:tcW w:type="dxa" w:w="2592"/>
            <w:vAlign w:val="center"/>
          </w:tcPr>
          <w:p>
            <w:pPr>
              <w:spacing w:after="0"/>
              <w:jc w:val="center"/>
            </w:pPr>
            <w:r>
              <w:rPr>
                <w:sz w:val="18"/>
              </w:rPr>
              <w:t>Healthcare Representative</w:t>
            </w:r>
          </w:p>
        </w:tc>
        <w:tc>
          <w:tcPr>
            <w:tcW w:type="dxa" w:w="2592"/>
            <w:vAlign w:val="center"/>
          </w:tcPr>
          <w:p>
            <w:pPr>
              <w:spacing w:after="0"/>
              <w:jc w:val="center"/>
            </w:pPr>
            <w:r>
              <w:rPr>
                <w:sz w:val="18"/>
              </w:rPr>
              <w:t>9</w:t>
            </w:r>
          </w:p>
        </w:tc>
        <w:tc>
          <w:tcPr>
            <w:tcW w:type="dxa" w:w="2592"/>
            <w:vAlign w:val="center"/>
          </w:tcPr>
          <w:p>
            <w:pPr>
              <w:spacing w:after="0"/>
              <w:jc w:val="center"/>
            </w:pPr>
            <w:r>
              <w:rPr>
                <w:sz w:val="18"/>
              </w:rPr>
              <w:t>131</w:t>
            </w:r>
          </w:p>
        </w:tc>
        <w:tc>
          <w:tcPr>
            <w:tcW w:type="dxa" w:w="2592"/>
            <w:vAlign w:val="center"/>
          </w:tcPr>
          <w:p>
            <w:pPr>
              <w:spacing w:after="0"/>
              <w:jc w:val="center"/>
            </w:pPr>
            <w:r>
              <w:rPr>
                <w:sz w:val="18"/>
              </w:rPr>
              <w:t>6.87%</w:t>
            </w:r>
          </w:p>
        </w:tc>
      </w:tr>
      <w:tr>
        <w:tc>
          <w:tcPr>
            <w:tcW w:type="dxa" w:w="2592"/>
            <w:vAlign w:val="center"/>
          </w:tcPr>
          <w:p>
            <w:pPr>
              <w:spacing w:after="0"/>
              <w:jc w:val="center"/>
            </w:pPr>
            <w:r>
              <w:rPr>
                <w:sz w:val="18"/>
              </w:rPr>
              <w:t>Manager</w:t>
            </w:r>
          </w:p>
        </w:tc>
        <w:tc>
          <w:tcPr>
            <w:tcW w:type="dxa" w:w="2592"/>
            <w:vAlign w:val="center"/>
          </w:tcPr>
          <w:p>
            <w:pPr>
              <w:spacing w:after="0"/>
              <w:jc w:val="center"/>
            </w:pPr>
            <w:r>
              <w:rPr>
                <w:sz w:val="18"/>
              </w:rPr>
              <w:t>5</w:t>
            </w:r>
          </w:p>
        </w:tc>
        <w:tc>
          <w:tcPr>
            <w:tcW w:type="dxa" w:w="2592"/>
            <w:vAlign w:val="center"/>
          </w:tcPr>
          <w:p>
            <w:pPr>
              <w:spacing w:after="0"/>
              <w:jc w:val="center"/>
            </w:pPr>
            <w:r>
              <w:rPr>
                <w:sz w:val="18"/>
              </w:rPr>
              <w:t>102</w:t>
            </w:r>
          </w:p>
        </w:tc>
        <w:tc>
          <w:tcPr>
            <w:tcW w:type="dxa" w:w="2592"/>
            <w:vAlign w:val="center"/>
          </w:tcPr>
          <w:p>
            <w:pPr>
              <w:spacing w:after="0"/>
              <w:jc w:val="center"/>
            </w:pPr>
            <w:r>
              <w:rPr>
                <w:sz w:val="18"/>
              </w:rPr>
              <w:t>4.90%</w:t>
            </w:r>
          </w:p>
        </w:tc>
      </w:tr>
      <w:tr>
        <w:tc>
          <w:tcPr>
            <w:tcW w:type="dxa" w:w="2592"/>
            <w:vAlign w:val="center"/>
          </w:tcPr>
          <w:p>
            <w:pPr>
              <w:spacing w:after="0"/>
              <w:jc w:val="center"/>
            </w:pPr>
            <w:r>
              <w:rPr>
                <w:sz w:val="18"/>
              </w:rPr>
              <w:t>Research Director</w:t>
            </w:r>
          </w:p>
        </w:tc>
        <w:tc>
          <w:tcPr>
            <w:tcW w:type="dxa" w:w="2592"/>
            <w:vAlign w:val="center"/>
          </w:tcPr>
          <w:p>
            <w:pPr>
              <w:spacing w:after="0"/>
              <w:jc w:val="center"/>
            </w:pPr>
            <w:r>
              <w:rPr>
                <w:sz w:val="18"/>
              </w:rPr>
              <w:t>2</w:t>
            </w:r>
          </w:p>
        </w:tc>
        <w:tc>
          <w:tcPr>
            <w:tcW w:type="dxa" w:w="2592"/>
            <w:vAlign w:val="center"/>
          </w:tcPr>
          <w:p>
            <w:pPr>
              <w:spacing w:after="0"/>
              <w:jc w:val="center"/>
            </w:pPr>
            <w:r>
              <w:rPr>
                <w:sz w:val="18"/>
              </w:rPr>
              <w:t>80</w:t>
            </w:r>
          </w:p>
        </w:tc>
        <w:tc>
          <w:tcPr>
            <w:tcW w:type="dxa" w:w="2592"/>
            <w:vAlign w:val="center"/>
          </w:tcPr>
          <w:p>
            <w:pPr>
              <w:spacing w:after="0"/>
              <w:jc w:val="center"/>
            </w:pPr>
            <w:r>
              <w:rPr>
                <w:sz w:val="18"/>
              </w:rPr>
              <w:t>2.50%</w:t>
            </w:r>
          </w:p>
        </w:tc>
      </w:tr>
    </w:tbl>
    <w:p>
      <w:r>
        <w:rPr>
          <w:b/>
        </w:rPr>
        <w:t xml:space="preserve">Insight: </w:t>
      </w:r>
      <w:r>
        <w:t>Sales Representative has the highest attrition rate at 39.76%, which is a serious retention concern.</w:t>
      </w:r>
    </w:p>
    <w:p>
      <w:pPr>
        <w:pStyle w:val="Heading2"/>
      </w:pPr>
      <w:r>
        <w:t>5.3 Attrition by OverTime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9"/>
          </w:tcPr>
          <w:p>
            <w:pPr>
              <w:spacing w:after="0"/>
              <w:jc w:val="center"/>
            </w:pPr>
            <w:r>
              <w:rPr>
                <w:b/>
                <w:color w:val="FFFFFF"/>
                <w:sz w:val="18"/>
              </w:rPr>
            </w:r>
            <w:r>
              <w:rPr>
                <w:b/>
                <w:color w:val="FFFFFF"/>
                <w:sz w:val="18"/>
              </w:rPr>
              <w:t>OverTime</w:t>
            </w:r>
          </w:p>
        </w:tc>
        <w:tc>
          <w:tcPr>
            <w:tcW w:type="dxa" w:w="2074"/>
            <w:vAlign w:val="center"/>
            <w:shd w:fill="1F4E79"/>
          </w:tcPr>
          <w:p>
            <w:pPr>
              <w:spacing w:after="0"/>
              <w:jc w:val="center"/>
            </w:pPr>
            <w:r>
              <w:rPr>
                <w:b/>
                <w:color w:val="FFFFFF"/>
                <w:sz w:val="18"/>
              </w:rPr>
            </w:r>
            <w:r>
              <w:rPr>
                <w:b/>
                <w:color w:val="FFFFFF"/>
                <w:sz w:val="18"/>
              </w:rPr>
              <w:t>Stayed</w:t>
            </w:r>
          </w:p>
        </w:tc>
        <w:tc>
          <w:tcPr>
            <w:tcW w:type="dxa" w:w="2074"/>
            <w:vAlign w:val="center"/>
            <w:shd w:fill="1F4E79"/>
          </w:tcPr>
          <w:p>
            <w:pPr>
              <w:spacing w:after="0"/>
              <w:jc w:val="center"/>
            </w:pPr>
            <w:r>
              <w:rPr>
                <w:b/>
                <w:color w:val="FFFFFF"/>
                <w:sz w:val="18"/>
              </w:rPr>
            </w:r>
            <w:r>
              <w:rPr>
                <w:b/>
                <w:color w:val="FFFFFF"/>
                <w:sz w:val="18"/>
              </w:rPr>
              <w:t>Left</w:t>
            </w:r>
          </w:p>
        </w:tc>
        <w:tc>
          <w:tcPr>
            <w:tcW w:type="dxa" w:w="2074"/>
            <w:vAlign w:val="center"/>
            <w:shd w:fill="1F4E79"/>
          </w:tcPr>
          <w:p>
            <w:pPr>
              <w:spacing w:after="0"/>
              <w:jc w:val="center"/>
            </w:pPr>
            <w:r>
              <w:rPr>
                <w:b/>
                <w:color w:val="FFFFFF"/>
                <w:sz w:val="18"/>
              </w:rPr>
            </w:r>
            <w:r>
              <w:rPr>
                <w:b/>
                <w:color w:val="FFFFFF"/>
                <w:sz w:val="18"/>
              </w:rPr>
              <w:t>Total Employees</w:t>
            </w:r>
          </w:p>
        </w:tc>
        <w:tc>
          <w:tcPr>
            <w:tcW w:type="dxa" w:w="2074"/>
            <w:vAlign w:val="center"/>
            <w:shd w:fill="1F4E79"/>
          </w:tcPr>
          <w:p>
            <w:pPr>
              <w:spacing w:after="0"/>
              <w:jc w:val="center"/>
            </w:pPr>
            <w:r>
              <w:rPr>
                <w:b/>
                <w:color w:val="FFFFFF"/>
                <w:sz w:val="18"/>
              </w:rPr>
            </w:r>
            <w:r>
              <w:rPr>
                <w:b/>
                <w:color w:val="FFFFFF"/>
                <w:sz w:val="18"/>
              </w:rPr>
              <w:t>Attrition Rate</w:t>
            </w:r>
          </w:p>
        </w:tc>
      </w:tr>
      <w:tr>
        <w:tc>
          <w:tcPr>
            <w:tcW w:type="dxa" w:w="2074"/>
            <w:vAlign w:val="center"/>
          </w:tcPr>
          <w:p>
            <w:pPr>
              <w:spacing w:after="0"/>
              <w:jc w:val="center"/>
            </w:pPr>
            <w:r>
              <w:rPr>
                <w:sz w:val="18"/>
              </w:rPr>
              <w:t>No</w:t>
            </w:r>
          </w:p>
        </w:tc>
        <w:tc>
          <w:tcPr>
            <w:tcW w:type="dxa" w:w="2074"/>
            <w:vAlign w:val="center"/>
          </w:tcPr>
          <w:p>
            <w:pPr>
              <w:spacing w:after="0"/>
              <w:jc w:val="center"/>
            </w:pPr>
            <w:r>
              <w:rPr>
                <w:sz w:val="18"/>
              </w:rPr>
              <w:t>944</w:t>
            </w:r>
          </w:p>
        </w:tc>
        <w:tc>
          <w:tcPr>
            <w:tcW w:type="dxa" w:w="2074"/>
            <w:vAlign w:val="center"/>
          </w:tcPr>
          <w:p>
            <w:pPr>
              <w:spacing w:after="0"/>
              <w:jc w:val="center"/>
            </w:pPr>
            <w:r>
              <w:rPr>
                <w:sz w:val="18"/>
              </w:rPr>
              <w:t>110</w:t>
            </w:r>
          </w:p>
        </w:tc>
        <w:tc>
          <w:tcPr>
            <w:tcW w:type="dxa" w:w="2074"/>
            <w:vAlign w:val="center"/>
          </w:tcPr>
          <w:p>
            <w:pPr>
              <w:spacing w:after="0"/>
              <w:jc w:val="center"/>
            </w:pPr>
            <w:r>
              <w:rPr>
                <w:sz w:val="18"/>
              </w:rPr>
              <w:t>1,054</w:t>
            </w:r>
          </w:p>
        </w:tc>
        <w:tc>
          <w:tcPr>
            <w:tcW w:type="dxa" w:w="2074"/>
            <w:vAlign w:val="center"/>
          </w:tcPr>
          <w:p>
            <w:pPr>
              <w:spacing w:after="0"/>
              <w:jc w:val="center"/>
            </w:pPr>
            <w:r>
              <w:rPr>
                <w:sz w:val="18"/>
              </w:rPr>
              <w:t>10.44%</w:t>
            </w:r>
          </w:p>
        </w:tc>
      </w:tr>
      <w:tr>
        <w:tc>
          <w:tcPr>
            <w:tcW w:type="dxa" w:w="2074"/>
            <w:vAlign w:val="center"/>
          </w:tcPr>
          <w:p>
            <w:pPr>
              <w:spacing w:after="0"/>
              <w:jc w:val="center"/>
            </w:pPr>
            <w:r>
              <w:rPr>
                <w:sz w:val="18"/>
              </w:rPr>
              <w:t>Yes</w:t>
            </w:r>
          </w:p>
        </w:tc>
        <w:tc>
          <w:tcPr>
            <w:tcW w:type="dxa" w:w="2074"/>
            <w:vAlign w:val="center"/>
          </w:tcPr>
          <w:p>
            <w:pPr>
              <w:spacing w:after="0"/>
              <w:jc w:val="center"/>
            </w:pPr>
            <w:r>
              <w:rPr>
                <w:sz w:val="18"/>
              </w:rPr>
              <w:t>289</w:t>
            </w:r>
          </w:p>
        </w:tc>
        <w:tc>
          <w:tcPr>
            <w:tcW w:type="dxa" w:w="2074"/>
            <w:vAlign w:val="center"/>
          </w:tcPr>
          <w:p>
            <w:pPr>
              <w:spacing w:after="0"/>
              <w:jc w:val="center"/>
            </w:pPr>
            <w:r>
              <w:rPr>
                <w:sz w:val="18"/>
              </w:rPr>
              <w:t>127</w:t>
            </w:r>
          </w:p>
        </w:tc>
        <w:tc>
          <w:tcPr>
            <w:tcW w:type="dxa" w:w="2074"/>
            <w:vAlign w:val="center"/>
          </w:tcPr>
          <w:p>
            <w:pPr>
              <w:spacing w:after="0"/>
              <w:jc w:val="center"/>
            </w:pPr>
            <w:r>
              <w:rPr>
                <w:sz w:val="18"/>
              </w:rPr>
              <w:t>416</w:t>
            </w:r>
          </w:p>
        </w:tc>
        <w:tc>
          <w:tcPr>
            <w:tcW w:type="dxa" w:w="2074"/>
            <w:vAlign w:val="center"/>
          </w:tcPr>
          <w:p>
            <w:pPr>
              <w:spacing w:after="0"/>
              <w:jc w:val="center"/>
            </w:pPr>
            <w:r>
              <w:rPr>
                <w:sz w:val="18"/>
              </w:rPr>
              <w:t>30.53%</w:t>
            </w:r>
          </w:p>
        </w:tc>
      </w:tr>
    </w:tbl>
    <w:p>
      <w:r>
        <w:rPr>
          <w:b/>
        </w:rPr>
        <w:t xml:space="preserve">Insight: </w:t>
      </w:r>
      <w:r>
        <w:t>Employees working overtime have an attrition rate of 30.53%, almost three times higher than employees not working overtime.</w:t>
      </w:r>
    </w:p>
    <w:p>
      <w:pPr>
        <w:pStyle w:val="Heading2"/>
      </w:pPr>
      <w:r>
        <w:t>5.4 Attrition by Age Group</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9"/>
          </w:tcPr>
          <w:p>
            <w:pPr>
              <w:spacing w:after="0"/>
              <w:jc w:val="center"/>
            </w:pPr>
            <w:r>
              <w:rPr>
                <w:b/>
                <w:color w:val="FFFFFF"/>
                <w:sz w:val="18"/>
              </w:rPr>
            </w:r>
            <w:r>
              <w:rPr>
                <w:b/>
                <w:color w:val="FFFFFF"/>
                <w:sz w:val="18"/>
              </w:rPr>
              <w:t>Age Group</w:t>
            </w:r>
          </w:p>
        </w:tc>
        <w:tc>
          <w:tcPr>
            <w:tcW w:type="dxa" w:w="2074"/>
            <w:vAlign w:val="center"/>
            <w:shd w:fill="1F4E79"/>
          </w:tcPr>
          <w:p>
            <w:pPr>
              <w:spacing w:after="0"/>
              <w:jc w:val="center"/>
            </w:pPr>
            <w:r>
              <w:rPr>
                <w:b/>
                <w:color w:val="FFFFFF"/>
                <w:sz w:val="18"/>
              </w:rPr>
            </w:r>
            <w:r>
              <w:rPr>
                <w:b/>
                <w:color w:val="FFFFFF"/>
                <w:sz w:val="18"/>
              </w:rPr>
              <w:t>Stayed</w:t>
            </w:r>
          </w:p>
        </w:tc>
        <w:tc>
          <w:tcPr>
            <w:tcW w:type="dxa" w:w="2074"/>
            <w:vAlign w:val="center"/>
            <w:shd w:fill="1F4E79"/>
          </w:tcPr>
          <w:p>
            <w:pPr>
              <w:spacing w:after="0"/>
              <w:jc w:val="center"/>
            </w:pPr>
            <w:r>
              <w:rPr>
                <w:b/>
                <w:color w:val="FFFFFF"/>
                <w:sz w:val="18"/>
              </w:rPr>
            </w:r>
            <w:r>
              <w:rPr>
                <w:b/>
                <w:color w:val="FFFFFF"/>
                <w:sz w:val="18"/>
              </w:rPr>
              <w:t>Left</w:t>
            </w:r>
          </w:p>
        </w:tc>
        <w:tc>
          <w:tcPr>
            <w:tcW w:type="dxa" w:w="2074"/>
            <w:vAlign w:val="center"/>
            <w:shd w:fill="1F4E79"/>
          </w:tcPr>
          <w:p>
            <w:pPr>
              <w:spacing w:after="0"/>
              <w:jc w:val="center"/>
            </w:pPr>
            <w:r>
              <w:rPr>
                <w:b/>
                <w:color w:val="FFFFFF"/>
                <w:sz w:val="18"/>
              </w:rPr>
            </w:r>
            <w:r>
              <w:rPr>
                <w:b/>
                <w:color w:val="FFFFFF"/>
                <w:sz w:val="18"/>
              </w:rPr>
              <w:t>Total Employees</w:t>
            </w:r>
          </w:p>
        </w:tc>
        <w:tc>
          <w:tcPr>
            <w:tcW w:type="dxa" w:w="2074"/>
            <w:vAlign w:val="center"/>
            <w:shd w:fill="1F4E79"/>
          </w:tcPr>
          <w:p>
            <w:pPr>
              <w:spacing w:after="0"/>
              <w:jc w:val="center"/>
            </w:pPr>
            <w:r>
              <w:rPr>
                <w:b/>
                <w:color w:val="FFFFFF"/>
                <w:sz w:val="18"/>
              </w:rPr>
            </w:r>
            <w:r>
              <w:rPr>
                <w:b/>
                <w:color w:val="FFFFFF"/>
                <w:sz w:val="18"/>
              </w:rPr>
              <w:t>Attrition Rate</w:t>
            </w:r>
          </w:p>
        </w:tc>
      </w:tr>
      <w:tr>
        <w:tc>
          <w:tcPr>
            <w:tcW w:type="dxa" w:w="2074"/>
            <w:vAlign w:val="center"/>
          </w:tcPr>
          <w:p>
            <w:pPr>
              <w:spacing w:after="0"/>
              <w:jc w:val="center"/>
            </w:pPr>
            <w:r>
              <w:rPr>
                <w:sz w:val="18"/>
              </w:rPr>
              <w:t>Under 30</w:t>
            </w:r>
          </w:p>
        </w:tc>
        <w:tc>
          <w:tcPr>
            <w:tcW w:type="dxa" w:w="2074"/>
            <w:vAlign w:val="center"/>
          </w:tcPr>
          <w:p>
            <w:pPr>
              <w:spacing w:after="0"/>
              <w:jc w:val="center"/>
            </w:pPr>
            <w:r>
              <w:rPr>
                <w:sz w:val="18"/>
              </w:rPr>
              <w:t>235</w:t>
            </w:r>
          </w:p>
        </w:tc>
        <w:tc>
          <w:tcPr>
            <w:tcW w:type="dxa" w:w="2074"/>
            <w:vAlign w:val="center"/>
          </w:tcPr>
          <w:p>
            <w:pPr>
              <w:spacing w:after="0"/>
              <w:jc w:val="center"/>
            </w:pPr>
            <w:r>
              <w:rPr>
                <w:sz w:val="18"/>
              </w:rPr>
              <w:t>91</w:t>
            </w:r>
          </w:p>
        </w:tc>
        <w:tc>
          <w:tcPr>
            <w:tcW w:type="dxa" w:w="2074"/>
            <w:vAlign w:val="center"/>
          </w:tcPr>
          <w:p>
            <w:pPr>
              <w:spacing w:after="0"/>
              <w:jc w:val="center"/>
            </w:pPr>
            <w:r>
              <w:rPr>
                <w:sz w:val="18"/>
              </w:rPr>
              <w:t>326</w:t>
            </w:r>
          </w:p>
        </w:tc>
        <w:tc>
          <w:tcPr>
            <w:tcW w:type="dxa" w:w="2074"/>
            <w:vAlign w:val="center"/>
          </w:tcPr>
          <w:p>
            <w:pPr>
              <w:spacing w:after="0"/>
              <w:jc w:val="center"/>
            </w:pPr>
            <w:r>
              <w:rPr>
                <w:sz w:val="18"/>
              </w:rPr>
              <w:t>27.91%</w:t>
            </w:r>
          </w:p>
        </w:tc>
      </w:tr>
      <w:tr>
        <w:tc>
          <w:tcPr>
            <w:tcW w:type="dxa" w:w="2074"/>
            <w:vAlign w:val="center"/>
          </w:tcPr>
          <w:p>
            <w:pPr>
              <w:spacing w:after="0"/>
              <w:jc w:val="center"/>
            </w:pPr>
            <w:r>
              <w:rPr>
                <w:sz w:val="18"/>
              </w:rPr>
              <w:t>30-40</w:t>
            </w:r>
          </w:p>
        </w:tc>
        <w:tc>
          <w:tcPr>
            <w:tcW w:type="dxa" w:w="2074"/>
            <w:vAlign w:val="center"/>
          </w:tcPr>
          <w:p>
            <w:pPr>
              <w:spacing w:after="0"/>
              <w:jc w:val="center"/>
            </w:pPr>
            <w:r>
              <w:rPr>
                <w:sz w:val="18"/>
              </w:rPr>
              <w:t>585</w:t>
            </w:r>
          </w:p>
        </w:tc>
        <w:tc>
          <w:tcPr>
            <w:tcW w:type="dxa" w:w="2074"/>
            <w:vAlign w:val="center"/>
          </w:tcPr>
          <w:p>
            <w:pPr>
              <w:spacing w:after="0"/>
              <w:jc w:val="center"/>
            </w:pPr>
            <w:r>
              <w:rPr>
                <w:sz w:val="18"/>
              </w:rPr>
              <w:t>94</w:t>
            </w:r>
          </w:p>
        </w:tc>
        <w:tc>
          <w:tcPr>
            <w:tcW w:type="dxa" w:w="2074"/>
            <w:vAlign w:val="center"/>
          </w:tcPr>
          <w:p>
            <w:pPr>
              <w:spacing w:after="0"/>
              <w:jc w:val="center"/>
            </w:pPr>
            <w:r>
              <w:rPr>
                <w:sz w:val="18"/>
              </w:rPr>
              <w:t>679</w:t>
            </w:r>
          </w:p>
        </w:tc>
        <w:tc>
          <w:tcPr>
            <w:tcW w:type="dxa" w:w="2074"/>
            <w:vAlign w:val="center"/>
          </w:tcPr>
          <w:p>
            <w:pPr>
              <w:spacing w:after="0"/>
              <w:jc w:val="center"/>
            </w:pPr>
            <w:r>
              <w:rPr>
                <w:sz w:val="18"/>
              </w:rPr>
              <w:t>13.84%</w:t>
            </w:r>
          </w:p>
        </w:tc>
      </w:tr>
      <w:tr>
        <w:tc>
          <w:tcPr>
            <w:tcW w:type="dxa" w:w="2074"/>
            <w:vAlign w:val="center"/>
          </w:tcPr>
          <w:p>
            <w:pPr>
              <w:spacing w:after="0"/>
              <w:jc w:val="center"/>
            </w:pPr>
            <w:r>
              <w:rPr>
                <w:sz w:val="18"/>
              </w:rPr>
              <w:t>41-50</w:t>
            </w:r>
          </w:p>
        </w:tc>
        <w:tc>
          <w:tcPr>
            <w:tcW w:type="dxa" w:w="2074"/>
            <w:vAlign w:val="center"/>
          </w:tcPr>
          <w:p>
            <w:pPr>
              <w:spacing w:after="0"/>
              <w:jc w:val="center"/>
            </w:pPr>
            <w:r>
              <w:rPr>
                <w:sz w:val="18"/>
              </w:rPr>
              <w:t>288</w:t>
            </w:r>
          </w:p>
        </w:tc>
        <w:tc>
          <w:tcPr>
            <w:tcW w:type="dxa" w:w="2074"/>
            <w:vAlign w:val="center"/>
          </w:tcPr>
          <w:p>
            <w:pPr>
              <w:spacing w:after="0"/>
              <w:jc w:val="center"/>
            </w:pPr>
            <w:r>
              <w:rPr>
                <w:sz w:val="18"/>
              </w:rPr>
              <w:t>34</w:t>
            </w:r>
          </w:p>
        </w:tc>
        <w:tc>
          <w:tcPr>
            <w:tcW w:type="dxa" w:w="2074"/>
            <w:vAlign w:val="center"/>
          </w:tcPr>
          <w:p>
            <w:pPr>
              <w:spacing w:after="0"/>
              <w:jc w:val="center"/>
            </w:pPr>
            <w:r>
              <w:rPr>
                <w:sz w:val="18"/>
              </w:rPr>
              <w:t>322</w:t>
            </w:r>
          </w:p>
        </w:tc>
        <w:tc>
          <w:tcPr>
            <w:tcW w:type="dxa" w:w="2074"/>
            <w:vAlign w:val="center"/>
          </w:tcPr>
          <w:p>
            <w:pPr>
              <w:spacing w:after="0"/>
              <w:jc w:val="center"/>
            </w:pPr>
            <w:r>
              <w:rPr>
                <w:sz w:val="18"/>
              </w:rPr>
              <w:t>10.56%</w:t>
            </w:r>
          </w:p>
        </w:tc>
      </w:tr>
      <w:tr>
        <w:tc>
          <w:tcPr>
            <w:tcW w:type="dxa" w:w="2074"/>
            <w:vAlign w:val="center"/>
          </w:tcPr>
          <w:p>
            <w:pPr>
              <w:spacing w:after="0"/>
              <w:jc w:val="center"/>
            </w:pPr>
            <w:r>
              <w:rPr>
                <w:sz w:val="18"/>
              </w:rPr>
              <w:t>50+</w:t>
            </w:r>
          </w:p>
        </w:tc>
        <w:tc>
          <w:tcPr>
            <w:tcW w:type="dxa" w:w="2074"/>
            <w:vAlign w:val="center"/>
          </w:tcPr>
          <w:p>
            <w:pPr>
              <w:spacing w:after="0"/>
              <w:jc w:val="center"/>
            </w:pPr>
            <w:r>
              <w:rPr>
                <w:sz w:val="18"/>
              </w:rPr>
              <w:t>125</w:t>
            </w:r>
          </w:p>
        </w:tc>
        <w:tc>
          <w:tcPr>
            <w:tcW w:type="dxa" w:w="2074"/>
            <w:vAlign w:val="center"/>
          </w:tcPr>
          <w:p>
            <w:pPr>
              <w:spacing w:after="0"/>
              <w:jc w:val="center"/>
            </w:pPr>
            <w:r>
              <w:rPr>
                <w:sz w:val="18"/>
              </w:rPr>
              <w:t>18</w:t>
            </w:r>
          </w:p>
        </w:tc>
        <w:tc>
          <w:tcPr>
            <w:tcW w:type="dxa" w:w="2074"/>
            <w:vAlign w:val="center"/>
          </w:tcPr>
          <w:p>
            <w:pPr>
              <w:spacing w:after="0"/>
              <w:jc w:val="center"/>
            </w:pPr>
            <w:r>
              <w:rPr>
                <w:sz w:val="18"/>
              </w:rPr>
              <w:t>143</w:t>
            </w:r>
          </w:p>
        </w:tc>
        <w:tc>
          <w:tcPr>
            <w:tcW w:type="dxa" w:w="2074"/>
            <w:vAlign w:val="center"/>
          </w:tcPr>
          <w:p>
            <w:pPr>
              <w:spacing w:after="0"/>
              <w:jc w:val="center"/>
            </w:pPr>
            <w:r>
              <w:rPr>
                <w:sz w:val="18"/>
              </w:rPr>
              <w:t>12.59%</w:t>
            </w:r>
          </w:p>
        </w:tc>
      </w:tr>
    </w:tbl>
    <w:p>
      <w:r>
        <w:rPr>
          <w:b/>
        </w:rPr>
        <w:t xml:space="preserve">Insight: </w:t>
      </w:r>
      <w:r>
        <w:t>Employees under 30 have the highest attrition rate at 27.91%, suggesting younger employees may be more likely to leave.</w:t>
      </w:r>
    </w:p>
    <w:p>
      <w:pPr>
        <w:pStyle w:val="Heading2"/>
      </w:pPr>
      <w:r>
        <w:t>5.5 Attrition by Gender</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9"/>
          </w:tcPr>
          <w:p>
            <w:pPr>
              <w:spacing w:after="0"/>
              <w:jc w:val="center"/>
            </w:pPr>
            <w:r>
              <w:rPr>
                <w:b/>
                <w:color w:val="FFFFFF"/>
                <w:sz w:val="18"/>
              </w:rPr>
            </w:r>
            <w:r>
              <w:rPr>
                <w:b/>
                <w:color w:val="FFFFFF"/>
                <w:sz w:val="18"/>
              </w:rPr>
              <w:t>Gender</w:t>
            </w:r>
          </w:p>
        </w:tc>
        <w:tc>
          <w:tcPr>
            <w:tcW w:type="dxa" w:w="2074"/>
            <w:vAlign w:val="center"/>
            <w:shd w:fill="1F4E79"/>
          </w:tcPr>
          <w:p>
            <w:pPr>
              <w:spacing w:after="0"/>
              <w:jc w:val="center"/>
            </w:pPr>
            <w:r>
              <w:rPr>
                <w:b/>
                <w:color w:val="FFFFFF"/>
                <w:sz w:val="18"/>
              </w:rPr>
            </w:r>
            <w:r>
              <w:rPr>
                <w:b/>
                <w:color w:val="FFFFFF"/>
                <w:sz w:val="18"/>
              </w:rPr>
              <w:t>Stayed</w:t>
            </w:r>
          </w:p>
        </w:tc>
        <w:tc>
          <w:tcPr>
            <w:tcW w:type="dxa" w:w="2074"/>
            <w:vAlign w:val="center"/>
            <w:shd w:fill="1F4E79"/>
          </w:tcPr>
          <w:p>
            <w:pPr>
              <w:spacing w:after="0"/>
              <w:jc w:val="center"/>
            </w:pPr>
            <w:r>
              <w:rPr>
                <w:b/>
                <w:color w:val="FFFFFF"/>
                <w:sz w:val="18"/>
              </w:rPr>
            </w:r>
            <w:r>
              <w:rPr>
                <w:b/>
                <w:color w:val="FFFFFF"/>
                <w:sz w:val="18"/>
              </w:rPr>
              <w:t>Left</w:t>
            </w:r>
          </w:p>
        </w:tc>
        <w:tc>
          <w:tcPr>
            <w:tcW w:type="dxa" w:w="2074"/>
            <w:vAlign w:val="center"/>
            <w:shd w:fill="1F4E79"/>
          </w:tcPr>
          <w:p>
            <w:pPr>
              <w:spacing w:after="0"/>
              <w:jc w:val="center"/>
            </w:pPr>
            <w:r>
              <w:rPr>
                <w:b/>
                <w:color w:val="FFFFFF"/>
                <w:sz w:val="18"/>
              </w:rPr>
            </w:r>
            <w:r>
              <w:rPr>
                <w:b/>
                <w:color w:val="FFFFFF"/>
                <w:sz w:val="18"/>
              </w:rPr>
              <w:t>Total Employees</w:t>
            </w:r>
          </w:p>
        </w:tc>
        <w:tc>
          <w:tcPr>
            <w:tcW w:type="dxa" w:w="2074"/>
            <w:vAlign w:val="center"/>
            <w:shd w:fill="1F4E79"/>
          </w:tcPr>
          <w:p>
            <w:pPr>
              <w:spacing w:after="0"/>
              <w:jc w:val="center"/>
            </w:pPr>
            <w:r>
              <w:rPr>
                <w:b/>
                <w:color w:val="FFFFFF"/>
                <w:sz w:val="18"/>
              </w:rPr>
            </w:r>
            <w:r>
              <w:rPr>
                <w:b/>
                <w:color w:val="FFFFFF"/>
                <w:sz w:val="18"/>
              </w:rPr>
              <w:t>Attrition Rate</w:t>
            </w:r>
          </w:p>
        </w:tc>
      </w:tr>
      <w:tr>
        <w:tc>
          <w:tcPr>
            <w:tcW w:type="dxa" w:w="2074"/>
            <w:vAlign w:val="center"/>
          </w:tcPr>
          <w:p>
            <w:pPr>
              <w:spacing w:after="0"/>
              <w:jc w:val="center"/>
            </w:pPr>
            <w:r>
              <w:rPr>
                <w:sz w:val="18"/>
              </w:rPr>
              <w:t>Female</w:t>
            </w:r>
          </w:p>
        </w:tc>
        <w:tc>
          <w:tcPr>
            <w:tcW w:type="dxa" w:w="2074"/>
            <w:vAlign w:val="center"/>
          </w:tcPr>
          <w:p>
            <w:pPr>
              <w:spacing w:after="0"/>
              <w:jc w:val="center"/>
            </w:pPr>
            <w:r>
              <w:rPr>
                <w:sz w:val="18"/>
              </w:rPr>
              <w:t>501</w:t>
            </w:r>
          </w:p>
        </w:tc>
        <w:tc>
          <w:tcPr>
            <w:tcW w:type="dxa" w:w="2074"/>
            <w:vAlign w:val="center"/>
          </w:tcPr>
          <w:p>
            <w:pPr>
              <w:spacing w:after="0"/>
              <w:jc w:val="center"/>
            </w:pPr>
            <w:r>
              <w:rPr>
                <w:sz w:val="18"/>
              </w:rPr>
              <w:t>87</w:t>
            </w:r>
          </w:p>
        </w:tc>
        <w:tc>
          <w:tcPr>
            <w:tcW w:type="dxa" w:w="2074"/>
            <w:vAlign w:val="center"/>
          </w:tcPr>
          <w:p>
            <w:pPr>
              <w:spacing w:after="0"/>
              <w:jc w:val="center"/>
            </w:pPr>
            <w:r>
              <w:rPr>
                <w:sz w:val="18"/>
              </w:rPr>
              <w:t>588</w:t>
            </w:r>
          </w:p>
        </w:tc>
        <w:tc>
          <w:tcPr>
            <w:tcW w:type="dxa" w:w="2074"/>
            <w:vAlign w:val="center"/>
          </w:tcPr>
          <w:p>
            <w:pPr>
              <w:spacing w:after="0"/>
              <w:jc w:val="center"/>
            </w:pPr>
            <w:r>
              <w:rPr>
                <w:sz w:val="18"/>
              </w:rPr>
              <w:t>14.80%</w:t>
            </w:r>
          </w:p>
        </w:tc>
      </w:tr>
      <w:tr>
        <w:tc>
          <w:tcPr>
            <w:tcW w:type="dxa" w:w="2074"/>
            <w:vAlign w:val="center"/>
          </w:tcPr>
          <w:p>
            <w:pPr>
              <w:spacing w:after="0"/>
              <w:jc w:val="center"/>
            </w:pPr>
            <w:r>
              <w:rPr>
                <w:sz w:val="18"/>
              </w:rPr>
              <w:t>Male</w:t>
            </w:r>
          </w:p>
        </w:tc>
        <w:tc>
          <w:tcPr>
            <w:tcW w:type="dxa" w:w="2074"/>
            <w:vAlign w:val="center"/>
          </w:tcPr>
          <w:p>
            <w:pPr>
              <w:spacing w:after="0"/>
              <w:jc w:val="center"/>
            </w:pPr>
            <w:r>
              <w:rPr>
                <w:sz w:val="18"/>
              </w:rPr>
              <w:t>732</w:t>
            </w:r>
          </w:p>
        </w:tc>
        <w:tc>
          <w:tcPr>
            <w:tcW w:type="dxa" w:w="2074"/>
            <w:vAlign w:val="center"/>
          </w:tcPr>
          <w:p>
            <w:pPr>
              <w:spacing w:after="0"/>
              <w:jc w:val="center"/>
            </w:pPr>
            <w:r>
              <w:rPr>
                <w:sz w:val="18"/>
              </w:rPr>
              <w:t>150</w:t>
            </w:r>
          </w:p>
        </w:tc>
        <w:tc>
          <w:tcPr>
            <w:tcW w:type="dxa" w:w="2074"/>
            <w:vAlign w:val="center"/>
          </w:tcPr>
          <w:p>
            <w:pPr>
              <w:spacing w:after="0"/>
              <w:jc w:val="center"/>
            </w:pPr>
            <w:r>
              <w:rPr>
                <w:sz w:val="18"/>
              </w:rPr>
              <w:t>882</w:t>
            </w:r>
          </w:p>
        </w:tc>
        <w:tc>
          <w:tcPr>
            <w:tcW w:type="dxa" w:w="2074"/>
            <w:vAlign w:val="center"/>
          </w:tcPr>
          <w:p>
            <w:pPr>
              <w:spacing w:after="0"/>
              <w:jc w:val="center"/>
            </w:pPr>
            <w:r>
              <w:rPr>
                <w:sz w:val="18"/>
              </w:rPr>
              <w:t>17.01%</w:t>
            </w:r>
          </w:p>
        </w:tc>
      </w:tr>
    </w:tbl>
    <w:p>
      <w:r>
        <w:rPr>
          <w:b/>
        </w:rPr>
        <w:t xml:space="preserve">Insight: </w:t>
      </w:r>
      <w:r>
        <w:t>Male employees show a slightly higher attrition rate than female employees, but the gap is not large compared with OverTime or Job Role.</w:t>
      </w:r>
    </w:p>
    <w:p>
      <w:pPr>
        <w:pStyle w:val="Heading2"/>
      </w:pPr>
      <w:r>
        <w:t>5.6 Attrition by Marital Status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9"/>
          </w:tcPr>
          <w:p>
            <w:pPr>
              <w:spacing w:after="0"/>
              <w:jc w:val="center"/>
            </w:pPr>
            <w:r>
              <w:rPr>
                <w:b/>
                <w:color w:val="FFFFFF"/>
                <w:sz w:val="18"/>
              </w:rPr>
            </w:r>
            <w:r>
              <w:rPr>
                <w:b/>
                <w:color w:val="FFFFFF"/>
                <w:sz w:val="18"/>
              </w:rPr>
              <w:t>Marital Status</w:t>
            </w:r>
          </w:p>
        </w:tc>
        <w:tc>
          <w:tcPr>
            <w:tcW w:type="dxa" w:w="2074"/>
            <w:vAlign w:val="center"/>
            <w:shd w:fill="1F4E79"/>
          </w:tcPr>
          <w:p>
            <w:pPr>
              <w:spacing w:after="0"/>
              <w:jc w:val="center"/>
            </w:pPr>
            <w:r>
              <w:rPr>
                <w:b/>
                <w:color w:val="FFFFFF"/>
                <w:sz w:val="18"/>
              </w:rPr>
            </w:r>
            <w:r>
              <w:rPr>
                <w:b/>
                <w:color w:val="FFFFFF"/>
                <w:sz w:val="18"/>
              </w:rPr>
              <w:t>Stayed</w:t>
            </w:r>
          </w:p>
        </w:tc>
        <w:tc>
          <w:tcPr>
            <w:tcW w:type="dxa" w:w="2074"/>
            <w:vAlign w:val="center"/>
            <w:shd w:fill="1F4E79"/>
          </w:tcPr>
          <w:p>
            <w:pPr>
              <w:spacing w:after="0"/>
              <w:jc w:val="center"/>
            </w:pPr>
            <w:r>
              <w:rPr>
                <w:b/>
                <w:color w:val="FFFFFF"/>
                <w:sz w:val="18"/>
              </w:rPr>
            </w:r>
            <w:r>
              <w:rPr>
                <w:b/>
                <w:color w:val="FFFFFF"/>
                <w:sz w:val="18"/>
              </w:rPr>
              <w:t>Left</w:t>
            </w:r>
          </w:p>
        </w:tc>
        <w:tc>
          <w:tcPr>
            <w:tcW w:type="dxa" w:w="2074"/>
            <w:vAlign w:val="center"/>
            <w:shd w:fill="1F4E79"/>
          </w:tcPr>
          <w:p>
            <w:pPr>
              <w:spacing w:after="0"/>
              <w:jc w:val="center"/>
            </w:pPr>
            <w:r>
              <w:rPr>
                <w:b/>
                <w:color w:val="FFFFFF"/>
                <w:sz w:val="18"/>
              </w:rPr>
            </w:r>
            <w:r>
              <w:rPr>
                <w:b/>
                <w:color w:val="FFFFFF"/>
                <w:sz w:val="18"/>
              </w:rPr>
              <w:t>Total Employees</w:t>
            </w:r>
          </w:p>
        </w:tc>
        <w:tc>
          <w:tcPr>
            <w:tcW w:type="dxa" w:w="2074"/>
            <w:vAlign w:val="center"/>
            <w:shd w:fill="1F4E79"/>
          </w:tcPr>
          <w:p>
            <w:pPr>
              <w:spacing w:after="0"/>
              <w:jc w:val="center"/>
            </w:pPr>
            <w:r>
              <w:rPr>
                <w:b/>
                <w:color w:val="FFFFFF"/>
                <w:sz w:val="18"/>
              </w:rPr>
            </w:r>
            <w:r>
              <w:rPr>
                <w:b/>
                <w:color w:val="FFFFFF"/>
                <w:sz w:val="18"/>
              </w:rPr>
              <w:t>Attrition Rate</w:t>
            </w:r>
          </w:p>
        </w:tc>
      </w:tr>
      <w:tr>
        <w:tc>
          <w:tcPr>
            <w:tcW w:type="dxa" w:w="2074"/>
            <w:vAlign w:val="center"/>
          </w:tcPr>
          <w:p>
            <w:pPr>
              <w:spacing w:after="0"/>
              <w:jc w:val="center"/>
            </w:pPr>
            <w:r>
              <w:rPr>
                <w:sz w:val="18"/>
              </w:rPr>
              <w:t>Divorced</w:t>
            </w:r>
          </w:p>
        </w:tc>
        <w:tc>
          <w:tcPr>
            <w:tcW w:type="dxa" w:w="2074"/>
            <w:vAlign w:val="center"/>
          </w:tcPr>
          <w:p>
            <w:pPr>
              <w:spacing w:after="0"/>
              <w:jc w:val="center"/>
            </w:pPr>
            <w:r>
              <w:rPr>
                <w:sz w:val="18"/>
              </w:rPr>
              <w:t>294</w:t>
            </w:r>
          </w:p>
        </w:tc>
        <w:tc>
          <w:tcPr>
            <w:tcW w:type="dxa" w:w="2074"/>
            <w:vAlign w:val="center"/>
          </w:tcPr>
          <w:p>
            <w:pPr>
              <w:spacing w:after="0"/>
              <w:jc w:val="center"/>
            </w:pPr>
            <w:r>
              <w:rPr>
                <w:sz w:val="18"/>
              </w:rPr>
              <w:t>33</w:t>
            </w:r>
          </w:p>
        </w:tc>
        <w:tc>
          <w:tcPr>
            <w:tcW w:type="dxa" w:w="2074"/>
            <w:vAlign w:val="center"/>
          </w:tcPr>
          <w:p>
            <w:pPr>
              <w:spacing w:after="0"/>
              <w:jc w:val="center"/>
            </w:pPr>
            <w:r>
              <w:rPr>
                <w:sz w:val="18"/>
              </w:rPr>
              <w:t>327</w:t>
            </w:r>
          </w:p>
        </w:tc>
        <w:tc>
          <w:tcPr>
            <w:tcW w:type="dxa" w:w="2074"/>
            <w:vAlign w:val="center"/>
          </w:tcPr>
          <w:p>
            <w:pPr>
              <w:spacing w:after="0"/>
              <w:jc w:val="center"/>
            </w:pPr>
            <w:r>
              <w:rPr>
                <w:sz w:val="18"/>
              </w:rPr>
              <w:t>10.09%</w:t>
            </w:r>
          </w:p>
        </w:tc>
      </w:tr>
      <w:tr>
        <w:tc>
          <w:tcPr>
            <w:tcW w:type="dxa" w:w="2074"/>
            <w:vAlign w:val="center"/>
          </w:tcPr>
          <w:p>
            <w:pPr>
              <w:spacing w:after="0"/>
              <w:jc w:val="center"/>
            </w:pPr>
            <w:r>
              <w:rPr>
                <w:sz w:val="18"/>
              </w:rPr>
              <w:t>Married</w:t>
            </w:r>
          </w:p>
        </w:tc>
        <w:tc>
          <w:tcPr>
            <w:tcW w:type="dxa" w:w="2074"/>
            <w:vAlign w:val="center"/>
          </w:tcPr>
          <w:p>
            <w:pPr>
              <w:spacing w:after="0"/>
              <w:jc w:val="center"/>
            </w:pPr>
            <w:r>
              <w:rPr>
                <w:sz w:val="18"/>
              </w:rPr>
              <w:t>589</w:t>
            </w:r>
          </w:p>
        </w:tc>
        <w:tc>
          <w:tcPr>
            <w:tcW w:type="dxa" w:w="2074"/>
            <w:vAlign w:val="center"/>
          </w:tcPr>
          <w:p>
            <w:pPr>
              <w:spacing w:after="0"/>
              <w:jc w:val="center"/>
            </w:pPr>
            <w:r>
              <w:rPr>
                <w:sz w:val="18"/>
              </w:rPr>
              <w:t>84</w:t>
            </w:r>
          </w:p>
        </w:tc>
        <w:tc>
          <w:tcPr>
            <w:tcW w:type="dxa" w:w="2074"/>
            <w:vAlign w:val="center"/>
          </w:tcPr>
          <w:p>
            <w:pPr>
              <w:spacing w:after="0"/>
              <w:jc w:val="center"/>
            </w:pPr>
            <w:r>
              <w:rPr>
                <w:sz w:val="18"/>
              </w:rPr>
              <w:t>673</w:t>
            </w:r>
          </w:p>
        </w:tc>
        <w:tc>
          <w:tcPr>
            <w:tcW w:type="dxa" w:w="2074"/>
            <w:vAlign w:val="center"/>
          </w:tcPr>
          <w:p>
            <w:pPr>
              <w:spacing w:after="0"/>
              <w:jc w:val="center"/>
            </w:pPr>
            <w:r>
              <w:rPr>
                <w:sz w:val="18"/>
              </w:rPr>
              <w:t>12.48%</w:t>
            </w:r>
          </w:p>
        </w:tc>
      </w:tr>
      <w:tr>
        <w:tc>
          <w:tcPr>
            <w:tcW w:type="dxa" w:w="2074"/>
            <w:vAlign w:val="center"/>
          </w:tcPr>
          <w:p>
            <w:pPr>
              <w:spacing w:after="0"/>
              <w:jc w:val="center"/>
            </w:pPr>
            <w:r>
              <w:rPr>
                <w:sz w:val="18"/>
              </w:rPr>
              <w:t>Single</w:t>
            </w:r>
          </w:p>
        </w:tc>
        <w:tc>
          <w:tcPr>
            <w:tcW w:type="dxa" w:w="2074"/>
            <w:vAlign w:val="center"/>
          </w:tcPr>
          <w:p>
            <w:pPr>
              <w:spacing w:after="0"/>
              <w:jc w:val="center"/>
            </w:pPr>
            <w:r>
              <w:rPr>
                <w:sz w:val="18"/>
              </w:rPr>
              <w:t>350</w:t>
            </w:r>
          </w:p>
        </w:tc>
        <w:tc>
          <w:tcPr>
            <w:tcW w:type="dxa" w:w="2074"/>
            <w:vAlign w:val="center"/>
          </w:tcPr>
          <w:p>
            <w:pPr>
              <w:spacing w:after="0"/>
              <w:jc w:val="center"/>
            </w:pPr>
            <w:r>
              <w:rPr>
                <w:sz w:val="18"/>
              </w:rPr>
              <w:t>120</w:t>
            </w:r>
          </w:p>
        </w:tc>
        <w:tc>
          <w:tcPr>
            <w:tcW w:type="dxa" w:w="2074"/>
            <w:vAlign w:val="center"/>
          </w:tcPr>
          <w:p>
            <w:pPr>
              <w:spacing w:after="0"/>
              <w:jc w:val="center"/>
            </w:pPr>
            <w:r>
              <w:rPr>
                <w:sz w:val="18"/>
              </w:rPr>
              <w:t>470</w:t>
            </w:r>
          </w:p>
        </w:tc>
        <w:tc>
          <w:tcPr>
            <w:tcW w:type="dxa" w:w="2074"/>
            <w:vAlign w:val="center"/>
          </w:tcPr>
          <w:p>
            <w:pPr>
              <w:spacing w:after="0"/>
              <w:jc w:val="center"/>
            </w:pPr>
            <w:r>
              <w:rPr>
                <w:sz w:val="18"/>
              </w:rPr>
              <w:t>25.53%</w:t>
            </w:r>
          </w:p>
        </w:tc>
      </w:tr>
    </w:tbl>
    <w:p>
      <w:r>
        <w:rPr>
          <w:b/>
        </w:rPr>
        <w:t xml:space="preserve">Insight: </w:t>
      </w:r>
      <w:r>
        <w:t>Single employees have the highest attrition rate at 25.53%, more than double the attrition rate of divorced employees.</w:t>
      </w:r>
    </w:p>
    <w:p>
      <w:pPr>
        <w:pStyle w:val="Heading1"/>
      </w:pPr>
      <w:r>
        <w:t>6. Business Recommendations</w:t>
      </w:r>
    </w:p>
    <w:p>
      <w:pPr>
        <w:pStyle w:val="ListBullet"/>
      </w:pPr>
      <w:r>
        <w:rPr>
          <w:b/>
        </w:rPr>
        <w:t xml:space="preserve">Reduce overtime pressure: </w:t>
      </w:r>
      <w:r>
        <w:t>OverTime employees have a much higher attrition rate. Review workloads, staffing levels, and overtime policies.</w:t>
      </w:r>
    </w:p>
    <w:p>
      <w:pPr>
        <w:pStyle w:val="ListBullet"/>
      </w:pPr>
      <w:r>
        <w:rPr>
          <w:b/>
        </w:rPr>
        <w:t xml:space="preserve">Focus on Sales Representative retention: </w:t>
      </w:r>
      <w:r>
        <w:t>Sales Representatives have the highest job-role attrition rate. Investigate targets, incentives, onboarding quality, and career growth opportunities.</w:t>
      </w:r>
    </w:p>
    <w:p>
      <w:pPr>
        <w:pStyle w:val="ListBullet"/>
      </w:pPr>
      <w:r>
        <w:rPr>
          <w:b/>
        </w:rPr>
        <w:t xml:space="preserve">Support younger employees: </w:t>
      </w:r>
      <w:r>
        <w:t>Employees under 30 show high attrition. Improve mentoring, career path clarity, training, and early-stage employee engagement.</w:t>
      </w:r>
    </w:p>
    <w:p>
      <w:pPr>
        <w:pStyle w:val="ListBullet"/>
      </w:pPr>
      <w:r>
        <w:rPr>
          <w:b/>
        </w:rPr>
        <w:t xml:space="preserve">Review Sales department retention strategy: </w:t>
      </w:r>
      <w:r>
        <w:t>Sales has the highest department-level attrition rate. Conduct exit interviews and manager-level reviews to identify specific causes.</w:t>
      </w:r>
    </w:p>
    <w:p>
      <w:pPr>
        <w:pStyle w:val="ListBullet"/>
      </w:pPr>
      <w:r>
        <w:rPr>
          <w:b/>
        </w:rPr>
        <w:t xml:space="preserve">Monitor single employees as a risk group: </w:t>
      </w:r>
      <w:r>
        <w:t>Single employees show higher attrition. Review engagement patterns and flexibility needs without making assumptions at an individual level.</w:t>
      </w:r>
    </w:p>
    <w:p>
      <w:pPr>
        <w:pStyle w:val="Heading1"/>
      </w:pPr>
      <w:r>
        <w:t>7. Conclusion</w:t>
      </w:r>
    </w:p>
    <w:p>
      <w:r>
        <w:t>The HR attrition analysis shows that attrition is not evenly distributed across the workforce. OverTime, Job Role, Age Group, Department, and Marital Status show clear differences in attrition rates. The most important business finding is that overtime employees and Sales Representatives are leaving at much higher rates. These areas should be prioritized for deeper investigation and retention planning.</w:t>
      </w:r>
    </w:p>
    <w:p>
      <w:pPr>
        <w:pStyle w:val="Heading1"/>
      </w:pPr>
      <w:r>
        <w:t>8. Resume Project Description</w:t>
      </w:r>
    </w:p>
    <w:p>
      <w:r>
        <w:t>HR Employee Attrition Analysis | Excel</w:t>
      </w:r>
    </w:p>
    <w:p>
      <w:r>
        <w:t>Analyzed 1,470 employee records using Excel Pivot Tables and dashboard charts to identify attrition patterns across departments, job roles, overtime status, age groups, gender, and marital status. Calculated attrition rates and generated business recommendations to support employee retention strategy.</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HR Employee Attrition Analysis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