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Olist E-Commerce Marketplace Analysis</w:t>
      </w:r>
    </w:p>
    <w:p>
      <w:pPr>
        <w:jc w:val="center"/>
      </w:pPr>
      <w:r>
        <w:rPr>
          <w:color w:val="595959"/>
          <w:sz w:val="28"/>
        </w:rPr>
        <w:t>Power BI Dashboard and SQL Validation Report</w:t>
      </w:r>
    </w:p>
    <w:p>
      <w:pPr>
        <w:jc w:val="center"/>
      </w:pPr>
      <w:r>
        <w:rPr>
          <w:b/>
          <w:sz w:val="22"/>
        </w:rPr>
        <w:t>Prepared by: Shubham Kumar Dubey</w:t>
      </w:r>
    </w:p>
    <w:p>
      <w:pPr>
        <w:jc w:val="center"/>
      </w:pPr>
      <w:r>
        <w:rPr>
          <w:sz w:val="20"/>
        </w:rPr>
        <w:t>Tools: Power BI, Power Query, DAX, Google Colab, SQLite SQL</w:t>
      </w:r>
    </w:p>
    <w:p>
      <w:pPr>
        <w:pStyle w:val="Heading1"/>
      </w:pPr>
      <w:r>
        <w:rPr>
          <w:color w:val="1F4E79"/>
        </w:rPr>
        <w:t>Executive KPI Summary</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3888"/>
            <w:shd w:fill="1F4E79"/>
            <w:vAlign w:val="center"/>
          </w:tcPr>
          <w:p>
            <w:pPr>
              <w:jc w:val="center"/>
            </w:pPr>
            <w:r>
              <w:rPr>
                <w:b/>
                <w:color w:val="FFFFFF"/>
                <w:sz w:val="17"/>
              </w:rPr>
              <w:t>Metric</w:t>
            </w:r>
          </w:p>
        </w:tc>
        <w:tc>
          <w:tcPr>
            <w:tcW w:type="dxa" w:w="3456"/>
            <w:shd w:fill="1F4E79"/>
            <w:vAlign w:val="center"/>
          </w:tcPr>
          <w:p>
            <w:pPr>
              <w:jc w:val="center"/>
            </w:pPr>
            <w:r>
              <w:rPr>
                <w:b/>
                <w:color w:val="FFFFFF"/>
                <w:sz w:val="17"/>
              </w:rPr>
              <w:t>Value</w:t>
            </w:r>
          </w:p>
        </w:tc>
      </w:tr>
      <w:tr>
        <w:tc>
          <w:tcPr>
            <w:tcW w:type="dxa" w:w="3888"/>
            <w:vAlign w:val="center"/>
          </w:tcPr>
          <w:p>
            <w:pPr>
              <w:jc w:val="left"/>
            </w:pPr>
            <w:r>
              <w:rPr>
                <w:sz w:val="17"/>
              </w:rPr>
              <w:t>Total Revenue</w:t>
            </w:r>
          </w:p>
        </w:tc>
        <w:tc>
          <w:tcPr>
            <w:tcW w:type="dxa" w:w="3456"/>
            <w:vAlign w:val="center"/>
          </w:tcPr>
          <w:p>
            <w:pPr>
              <w:jc w:val="center"/>
            </w:pPr>
            <w:r>
              <w:rPr>
                <w:sz w:val="17"/>
              </w:rPr>
              <w:t>13,591,643.70</w:t>
            </w:r>
          </w:p>
        </w:tc>
      </w:tr>
      <w:tr>
        <w:tc>
          <w:tcPr>
            <w:tcW w:type="dxa" w:w="3888"/>
            <w:vAlign w:val="center"/>
          </w:tcPr>
          <w:p>
            <w:pPr>
              <w:jc w:val="left"/>
            </w:pPr>
            <w:r>
              <w:rPr>
                <w:sz w:val="17"/>
              </w:rPr>
              <w:t>Total Orders</w:t>
            </w:r>
          </w:p>
        </w:tc>
        <w:tc>
          <w:tcPr>
            <w:tcW w:type="dxa" w:w="3456"/>
            <w:vAlign w:val="center"/>
          </w:tcPr>
          <w:p>
            <w:pPr>
              <w:jc w:val="center"/>
            </w:pPr>
            <w:r>
              <w:rPr>
                <w:sz w:val="17"/>
              </w:rPr>
              <w:t>99,441</w:t>
            </w:r>
          </w:p>
        </w:tc>
      </w:tr>
      <w:tr>
        <w:tc>
          <w:tcPr>
            <w:tcW w:type="dxa" w:w="3888"/>
            <w:vAlign w:val="center"/>
          </w:tcPr>
          <w:p>
            <w:pPr>
              <w:jc w:val="left"/>
            </w:pPr>
            <w:r>
              <w:rPr>
                <w:sz w:val="17"/>
              </w:rPr>
              <w:t>Total Customers</w:t>
            </w:r>
          </w:p>
        </w:tc>
        <w:tc>
          <w:tcPr>
            <w:tcW w:type="dxa" w:w="3456"/>
            <w:vAlign w:val="center"/>
          </w:tcPr>
          <w:p>
            <w:pPr>
              <w:jc w:val="center"/>
            </w:pPr>
            <w:r>
              <w:rPr>
                <w:sz w:val="17"/>
              </w:rPr>
              <w:t>96,096</w:t>
            </w:r>
          </w:p>
        </w:tc>
      </w:tr>
      <w:tr>
        <w:tc>
          <w:tcPr>
            <w:tcW w:type="dxa" w:w="3888"/>
            <w:vAlign w:val="center"/>
          </w:tcPr>
          <w:p>
            <w:pPr>
              <w:jc w:val="left"/>
            </w:pPr>
            <w:r>
              <w:rPr>
                <w:sz w:val="17"/>
              </w:rPr>
              <w:t>Total Sellers</w:t>
            </w:r>
          </w:p>
        </w:tc>
        <w:tc>
          <w:tcPr>
            <w:tcW w:type="dxa" w:w="3456"/>
            <w:vAlign w:val="center"/>
          </w:tcPr>
          <w:p>
            <w:pPr>
              <w:jc w:val="center"/>
            </w:pPr>
            <w:r>
              <w:rPr>
                <w:sz w:val="17"/>
              </w:rPr>
              <w:t>3,095</w:t>
            </w:r>
          </w:p>
        </w:tc>
      </w:tr>
      <w:tr>
        <w:tc>
          <w:tcPr>
            <w:tcW w:type="dxa" w:w="3888"/>
            <w:vAlign w:val="center"/>
          </w:tcPr>
          <w:p>
            <w:pPr>
              <w:jc w:val="left"/>
            </w:pPr>
            <w:r>
              <w:rPr>
                <w:sz w:val="17"/>
              </w:rPr>
              <w:t>Total Products</w:t>
            </w:r>
          </w:p>
        </w:tc>
        <w:tc>
          <w:tcPr>
            <w:tcW w:type="dxa" w:w="3456"/>
            <w:vAlign w:val="center"/>
          </w:tcPr>
          <w:p>
            <w:pPr>
              <w:jc w:val="center"/>
            </w:pPr>
            <w:r>
              <w:rPr>
                <w:sz w:val="17"/>
              </w:rPr>
              <w:t>32,951</w:t>
            </w:r>
          </w:p>
        </w:tc>
      </w:tr>
      <w:tr>
        <w:tc>
          <w:tcPr>
            <w:tcW w:type="dxa" w:w="3888"/>
            <w:vAlign w:val="center"/>
          </w:tcPr>
          <w:p>
            <w:pPr>
              <w:jc w:val="left"/>
            </w:pPr>
            <w:r>
              <w:rPr>
                <w:sz w:val="17"/>
              </w:rPr>
              <w:t>Average Order Value</w:t>
            </w:r>
          </w:p>
        </w:tc>
        <w:tc>
          <w:tcPr>
            <w:tcW w:type="dxa" w:w="3456"/>
            <w:vAlign w:val="center"/>
          </w:tcPr>
          <w:p>
            <w:pPr>
              <w:jc w:val="center"/>
            </w:pPr>
            <w:r>
              <w:rPr>
                <w:sz w:val="17"/>
              </w:rPr>
              <w:t>136.68</w:t>
            </w:r>
          </w:p>
        </w:tc>
      </w:tr>
      <w:tr>
        <w:tc>
          <w:tcPr>
            <w:tcW w:type="dxa" w:w="3888"/>
            <w:vAlign w:val="center"/>
          </w:tcPr>
          <w:p>
            <w:pPr>
              <w:jc w:val="left"/>
            </w:pPr>
            <w:r>
              <w:rPr>
                <w:sz w:val="17"/>
              </w:rPr>
              <w:t>Average Review Score</w:t>
            </w:r>
          </w:p>
        </w:tc>
        <w:tc>
          <w:tcPr>
            <w:tcW w:type="dxa" w:w="3456"/>
            <w:vAlign w:val="center"/>
          </w:tcPr>
          <w:p>
            <w:pPr>
              <w:jc w:val="center"/>
            </w:pPr>
            <w:r>
              <w:rPr>
                <w:sz w:val="17"/>
              </w:rPr>
              <w:t>4.09</w:t>
            </w:r>
          </w:p>
        </w:tc>
      </w:tr>
    </w:tbl>
    <w:p>
      <w:pPr>
        <w:pStyle w:val="Heading1"/>
      </w:pPr>
      <w:r>
        <w:rPr>
          <w:color w:val="1F4E79"/>
        </w:rPr>
        <w:t>Executive Summary</w:t>
      </w:r>
    </w:p>
    <w:p>
      <w:r>
        <w:t>This project analyzes the Brazilian Olist E-Commerce marketplace dataset to understand revenue performance, customer geography, delivery efficiency, product category contribution, payment behavior, review patterns, and seller performance. The final solution includes a three-page Power BI dashboard and a SQL analysis notebook used to validate the major dashboard metrics.</w:t>
      </w:r>
    </w:p>
    <w:p>
      <w:pPr>
        <w:pStyle w:val="ListBullet"/>
        <w:spacing w:after="40"/>
      </w:pPr>
      <w:r>
        <w:t>The marketplace generated total product revenue of 13.59M across 99,441 orders.</w:t>
      </w:r>
    </w:p>
    <w:p>
      <w:pPr>
        <w:pStyle w:val="ListBullet"/>
        <w:spacing w:after="40"/>
      </w:pPr>
      <w:r>
        <w:t>Revenue was strongest in 2018, with 7.39M revenue from 54,011 orders.</w:t>
      </w:r>
    </w:p>
    <w:p>
      <w:pPr>
        <w:pStyle w:val="ListBullet"/>
        <w:spacing w:after="40"/>
      </w:pPr>
      <w:r>
        <w:t>SP was the largest customer revenue state and also the strongest seller hub.</w:t>
      </w:r>
    </w:p>
    <w:p>
      <w:pPr>
        <w:pStyle w:val="ListBullet"/>
        <w:spacing w:after="40"/>
      </w:pPr>
      <w:r>
        <w:t>Health Beauty generated the highest category revenue, while Bed Bath Table had the highest order volume.</w:t>
      </w:r>
    </w:p>
    <w:p>
      <w:pPr>
        <w:pStyle w:val="ListBullet"/>
        <w:spacing w:after="40"/>
      </w:pPr>
      <w:r>
        <w:t>Credit card payments dominated the marketplace, contributing 78.34% of payment value.</w:t>
      </w:r>
    </w:p>
    <w:p>
      <w:pPr>
        <w:pStyle w:val="ListBullet"/>
        <w:spacing w:after="40"/>
      </w:pPr>
      <w:r>
        <w:t>Delivery performance had a clear impact on satisfaction: on-time/early orders averaged 4.29 review score, while delayed orders averaged 2.27.</w:t>
      </w:r>
    </w:p>
    <w:p>
      <w:pPr>
        <w:pStyle w:val="Heading1"/>
      </w:pPr>
      <w:r>
        <w:rPr>
          <w:color w:val="1F4E79"/>
        </w:rPr>
        <w:t>1. Project Objective</w:t>
      </w:r>
    </w:p>
    <w:p>
      <w:r>
        <w:t>The objective of this project was to build a complete business intelligence analysis for an e-commerce marketplace. The dashboard was designed to help users monitor business growth, sales trends, delivery performance, product and seller contribution, and customer satisfaction.</w:t>
      </w:r>
    </w:p>
    <w:p>
      <w:pPr>
        <w:pStyle w:val="Heading1"/>
      </w:pPr>
      <w:r>
        <w:rPr>
          <w:color w:val="1F4E79"/>
        </w:rPr>
        <w:t>2. Dataset and Tools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2880"/>
            <w:shd w:fill="1F4E79"/>
            <w:vAlign w:val="center"/>
          </w:tcPr>
          <w:p>
            <w:pPr>
              <w:jc w:val="center"/>
            </w:pPr>
            <w:r>
              <w:rPr>
                <w:b/>
                <w:color w:val="FFFFFF"/>
                <w:sz w:val="17"/>
              </w:rPr>
              <w:t>Area</w:t>
            </w:r>
          </w:p>
        </w:tc>
        <w:tc>
          <w:tcPr>
            <w:tcW w:type="dxa" w:w="6768"/>
            <w:shd w:fill="1F4E79"/>
            <w:vAlign w:val="center"/>
          </w:tcPr>
          <w:p>
            <w:pPr>
              <w:jc w:val="center"/>
            </w:pPr>
            <w:r>
              <w:rPr>
                <w:b/>
                <w:color w:val="FFFFFF"/>
                <w:sz w:val="17"/>
              </w:rPr>
              <w:t>Details</w:t>
            </w:r>
          </w:p>
        </w:tc>
      </w:tr>
      <w:tr>
        <w:tc>
          <w:tcPr>
            <w:tcW w:type="dxa" w:w="2880"/>
            <w:vAlign w:val="center"/>
          </w:tcPr>
          <w:p>
            <w:pPr>
              <w:jc w:val="left"/>
            </w:pPr>
            <w:r>
              <w:rPr>
                <w:sz w:val="17"/>
              </w:rPr>
              <w:t>Dataset</w:t>
            </w:r>
          </w:p>
        </w:tc>
        <w:tc>
          <w:tcPr>
            <w:tcW w:type="dxa" w:w="6768"/>
            <w:vAlign w:val="center"/>
          </w:tcPr>
          <w:p>
            <w:pPr>
              <w:jc w:val="center"/>
            </w:pPr>
            <w:r>
              <w:rPr>
                <w:sz w:val="17"/>
              </w:rPr>
              <w:t>Brazilian Olist E-Commerce public dataset</w:t>
            </w:r>
          </w:p>
        </w:tc>
      </w:tr>
      <w:tr>
        <w:tc>
          <w:tcPr>
            <w:tcW w:type="dxa" w:w="2880"/>
            <w:vAlign w:val="center"/>
          </w:tcPr>
          <w:p>
            <w:pPr>
              <w:jc w:val="left"/>
            </w:pPr>
            <w:r>
              <w:rPr>
                <w:sz w:val="17"/>
              </w:rPr>
              <w:t>Data tables used</w:t>
            </w:r>
          </w:p>
        </w:tc>
        <w:tc>
          <w:tcPr>
            <w:tcW w:type="dxa" w:w="6768"/>
            <w:vAlign w:val="center"/>
          </w:tcPr>
          <w:p>
            <w:pPr>
              <w:jc w:val="center"/>
            </w:pPr>
            <w:r>
              <w:rPr>
                <w:sz w:val="17"/>
              </w:rPr>
              <w:t>Customers, Orders, Order Items, Payments, Reviews, Products, Sellers, Category Translation</w:t>
            </w:r>
          </w:p>
        </w:tc>
      </w:tr>
      <w:tr>
        <w:tc>
          <w:tcPr>
            <w:tcW w:type="dxa" w:w="2880"/>
            <w:vAlign w:val="center"/>
          </w:tcPr>
          <w:p>
            <w:pPr>
              <w:jc w:val="left"/>
            </w:pPr>
            <w:r>
              <w:rPr>
                <w:sz w:val="17"/>
              </w:rPr>
              <w:t>Main dashboard tool</w:t>
            </w:r>
          </w:p>
        </w:tc>
        <w:tc>
          <w:tcPr>
            <w:tcW w:type="dxa" w:w="6768"/>
            <w:vAlign w:val="center"/>
          </w:tcPr>
          <w:p>
            <w:pPr>
              <w:jc w:val="center"/>
            </w:pPr>
            <w:r>
              <w:rPr>
                <w:sz w:val="17"/>
              </w:rPr>
              <w:t>Power BI</w:t>
            </w:r>
          </w:p>
        </w:tc>
      </w:tr>
      <w:tr>
        <w:tc>
          <w:tcPr>
            <w:tcW w:type="dxa" w:w="2880"/>
            <w:vAlign w:val="center"/>
          </w:tcPr>
          <w:p>
            <w:pPr>
              <w:jc w:val="left"/>
            </w:pPr>
            <w:r>
              <w:rPr>
                <w:sz w:val="17"/>
              </w:rPr>
              <w:t>Data preparation</w:t>
            </w:r>
          </w:p>
        </w:tc>
        <w:tc>
          <w:tcPr>
            <w:tcW w:type="dxa" w:w="6768"/>
            <w:vAlign w:val="center"/>
          </w:tcPr>
          <w:p>
            <w:pPr>
              <w:jc w:val="center"/>
            </w:pPr>
            <w:r>
              <w:rPr>
                <w:sz w:val="17"/>
              </w:rPr>
              <w:t>Power Query</w:t>
            </w:r>
          </w:p>
        </w:tc>
      </w:tr>
      <w:tr>
        <w:tc>
          <w:tcPr>
            <w:tcW w:type="dxa" w:w="2880"/>
            <w:vAlign w:val="center"/>
          </w:tcPr>
          <w:p>
            <w:pPr>
              <w:jc w:val="left"/>
            </w:pPr>
            <w:r>
              <w:rPr>
                <w:sz w:val="17"/>
              </w:rPr>
              <w:t>Calculations</w:t>
            </w:r>
          </w:p>
        </w:tc>
        <w:tc>
          <w:tcPr>
            <w:tcW w:type="dxa" w:w="6768"/>
            <w:vAlign w:val="center"/>
          </w:tcPr>
          <w:p>
            <w:pPr>
              <w:jc w:val="center"/>
            </w:pPr>
            <w:r>
              <w:rPr>
                <w:sz w:val="17"/>
              </w:rPr>
              <w:t>DAX measures and calculated columns</w:t>
            </w:r>
          </w:p>
        </w:tc>
      </w:tr>
      <w:tr>
        <w:tc>
          <w:tcPr>
            <w:tcW w:type="dxa" w:w="2880"/>
            <w:vAlign w:val="center"/>
          </w:tcPr>
          <w:p>
            <w:pPr>
              <w:jc w:val="left"/>
            </w:pPr>
            <w:r>
              <w:rPr>
                <w:sz w:val="17"/>
              </w:rPr>
              <w:t>SQL validation</w:t>
            </w:r>
          </w:p>
        </w:tc>
        <w:tc>
          <w:tcPr>
            <w:tcW w:type="dxa" w:w="6768"/>
            <w:vAlign w:val="center"/>
          </w:tcPr>
          <w:p>
            <w:pPr>
              <w:jc w:val="center"/>
            </w:pPr>
            <w:r>
              <w:rPr>
                <w:sz w:val="17"/>
              </w:rPr>
              <w:t>SQLite SQL in Google Colab</w:t>
            </w:r>
          </w:p>
        </w:tc>
      </w:tr>
      <w:tr>
        <w:tc>
          <w:tcPr>
            <w:tcW w:type="dxa" w:w="2880"/>
            <w:vAlign w:val="center"/>
          </w:tcPr>
          <w:p>
            <w:pPr>
              <w:jc w:val="left"/>
            </w:pPr>
            <w:r>
              <w:rPr>
                <w:sz w:val="17"/>
              </w:rPr>
              <w:t>Output files</w:t>
            </w:r>
          </w:p>
        </w:tc>
        <w:tc>
          <w:tcPr>
            <w:tcW w:type="dxa" w:w="6768"/>
            <w:vAlign w:val="center"/>
          </w:tcPr>
          <w:p>
            <w:pPr>
              <w:jc w:val="center"/>
            </w:pPr>
            <w:r>
              <w:rPr>
                <w:sz w:val="17"/>
              </w:rPr>
              <w:t>PBIX dashboard, SQL notebook, screenshots, PDF/DOCX report</w:t>
            </w:r>
          </w:p>
        </w:tc>
      </w:tr>
    </w:tbl>
    <w:p>
      <w:pPr>
        <w:pStyle w:val="Heading1"/>
      </w:pPr>
      <w:r>
        <w:rPr>
          <w:color w:val="1F4E79"/>
        </w:rPr>
        <w:t>3. Data Preparation and Model Design</w:t>
      </w:r>
    </w:p>
    <w:p>
      <w:r>
        <w:t>The dataset was imported into Power BI and cleaned using Power Query. The category translation table was used to convert product category names into English, and custom columns were created for delivery analysis.</w:t>
      </w:r>
    </w:p>
    <w:p>
      <w:pPr>
        <w:pStyle w:val="ListBullet"/>
        <w:spacing w:after="40"/>
      </w:pPr>
      <w:r>
        <w:t>Created Purchase Date, Delivery Days, Delay Days, Delivery Status, Order Year, and Month fields in the Orders table.</w:t>
      </w:r>
    </w:p>
    <w:p>
      <w:pPr>
        <w:pStyle w:val="ListBullet"/>
        <w:spacing w:after="40"/>
      </w:pPr>
      <w:r>
        <w:t>Created a clean Category Name field by replacing underscores and formatting category names.</w:t>
      </w:r>
    </w:p>
    <w:p>
      <w:pPr>
        <w:pStyle w:val="ListBullet"/>
        <w:spacing w:after="40"/>
      </w:pPr>
      <w:r>
        <w:t>Used Seller Short ID for readable seller visuals instead of full seller identifiers.</w:t>
      </w:r>
    </w:p>
    <w:p>
      <w:pPr>
        <w:pStyle w:val="ListBullet"/>
        <w:spacing w:after="40"/>
      </w:pPr>
      <w:r>
        <w:t>Built relationships between customers, orders, order items, payments, reviews, products, sellers, and category translation tables.</w:t>
      </w:r>
    </w:p>
    <w:p>
      <w:pPr>
        <w:pStyle w:val="ListBullet"/>
        <w:spacing w:after="40"/>
      </w:pPr>
      <w:r>
        <w:t>Used DAX measures for revenue, orders, customers, sellers, products, average order value, average review score, delivery metrics, and delay rate.</w:t>
      </w:r>
    </w:p>
    <w:p>
      <w:pPr>
        <w:pStyle w:val="Heading1"/>
      </w:pPr>
      <w:r>
        <w:rPr>
          <w:color w:val="1F4E79"/>
        </w:rPr>
        <w:t>4. Dashboard Pages</w:t>
      </w:r>
    </w:p>
    <w:p>
      <w:r>
        <w:t>The Power BI report contains three analytical pages: Executive Overview, Delivery and Review Analysis, and Product and Seller Analysis.</w:t>
      </w:r>
    </w:p>
    <w:p>
      <w:pPr>
        <w:pStyle w:val="Heading2"/>
      </w:pPr>
      <w:r>
        <w:rPr>
          <w:color w:val="1F4E79"/>
        </w:rPr>
        <w:t>4.1 Executive Overview</w:t>
      </w:r>
    </w:p>
    <w:p>
      <w:r>
        <w:t>This page presents the high-level business performance using KPI cards, yearly and monthly revenue trends, revenue by product category, revenue by customer state, delivery status, and payment method contribution.</w:t>
      </w:r>
    </w:p>
    <w:p>
      <w:pPr>
        <w:jc w:val="center"/>
      </w:pPr>
      <w:r>
        <w:drawing>
          <wp:inline xmlns:a="http://schemas.openxmlformats.org/drawingml/2006/main" xmlns:pic="http://schemas.openxmlformats.org/drawingml/2006/picture">
            <wp:extent cx="6080760" cy="3580646"/>
            <wp:docPr id="1" name="Picture 1"/>
            <wp:cNvGraphicFramePr>
              <a:graphicFrameLocks noChangeAspect="1"/>
            </wp:cNvGraphicFramePr>
            <a:graphic>
              <a:graphicData uri="http://schemas.openxmlformats.org/drawingml/2006/picture">
                <pic:pic>
                  <pic:nvPicPr>
                    <pic:cNvPr id="0" name="dashboard_page_1_executive_overview.png"/>
                    <pic:cNvPicPr/>
                  </pic:nvPicPr>
                  <pic:blipFill>
                    <a:blip r:embed="rId10"/>
                    <a:stretch>
                      <a:fillRect/>
                    </a:stretch>
                  </pic:blipFill>
                  <pic:spPr>
                    <a:xfrm>
                      <a:off x="0" y="0"/>
                      <a:ext cx="6080760" cy="3580646"/>
                    </a:xfrm>
                    <a:prstGeom prst="rect"/>
                  </pic:spPr>
                </pic:pic>
              </a:graphicData>
            </a:graphic>
          </wp:inline>
        </w:drawing>
      </w:r>
    </w:p>
    <w:p>
      <w:pPr>
        <w:jc w:val="center"/>
      </w:pPr>
      <w:r>
        <w:rPr>
          <w:i/>
          <w:color w:val="595959"/>
          <w:sz w:val="17"/>
        </w:rPr>
        <w:t>Figure 1: Executive Overview dashboard page</w:t>
      </w:r>
    </w:p>
    <w:p>
      <w:pPr>
        <w:pStyle w:val="Heading2"/>
      </w:pPr>
      <w:r>
        <w:rPr>
          <w:color w:val="1F4E79"/>
        </w:rPr>
        <w:t>4.2 Delivery and Review Analysis</w:t>
      </w:r>
    </w:p>
    <w:p>
      <w:r>
        <w:t>This page analyzes delivery speed, delay rate, delayed order count, review score distribution, and the relationship between delivery status and customer satisfaction.</w:t>
      </w:r>
    </w:p>
    <w:p>
      <w:pPr>
        <w:jc w:val="center"/>
      </w:pPr>
      <w:r>
        <w:drawing>
          <wp:inline xmlns:a="http://schemas.openxmlformats.org/drawingml/2006/main" xmlns:pic="http://schemas.openxmlformats.org/drawingml/2006/picture">
            <wp:extent cx="6080760" cy="3580646"/>
            <wp:docPr id="2" name="Picture 2"/>
            <wp:cNvGraphicFramePr>
              <a:graphicFrameLocks noChangeAspect="1"/>
            </wp:cNvGraphicFramePr>
            <a:graphic>
              <a:graphicData uri="http://schemas.openxmlformats.org/drawingml/2006/picture">
                <pic:pic>
                  <pic:nvPicPr>
                    <pic:cNvPr id="0" name="dashboard_page_2_delivery_review_analysis.png"/>
                    <pic:cNvPicPr/>
                  </pic:nvPicPr>
                  <pic:blipFill>
                    <a:blip r:embed="rId11"/>
                    <a:stretch>
                      <a:fillRect/>
                    </a:stretch>
                  </pic:blipFill>
                  <pic:spPr>
                    <a:xfrm>
                      <a:off x="0" y="0"/>
                      <a:ext cx="6080760" cy="3580646"/>
                    </a:xfrm>
                    <a:prstGeom prst="rect"/>
                  </pic:spPr>
                </pic:pic>
              </a:graphicData>
            </a:graphic>
          </wp:inline>
        </w:drawing>
      </w:r>
    </w:p>
    <w:p>
      <w:pPr>
        <w:jc w:val="center"/>
      </w:pPr>
      <w:r>
        <w:rPr>
          <w:i/>
          <w:color w:val="595959"/>
          <w:sz w:val="17"/>
        </w:rPr>
        <w:t>Figure 2: Delivery and Review Analysis dashboard page</w:t>
      </w:r>
    </w:p>
    <w:p>
      <w:pPr>
        <w:pStyle w:val="Heading2"/>
      </w:pPr>
      <w:r>
        <w:rPr>
          <w:color w:val="1F4E79"/>
        </w:rPr>
        <w:t>4.3 Product and Seller Analysis</w:t>
      </w:r>
    </w:p>
    <w:p>
      <w:r>
        <w:t>This page focuses on top sellers, high-performing product categories, seller state contribution, and product category order volume.</w:t>
      </w:r>
    </w:p>
    <w:p>
      <w:pPr>
        <w:jc w:val="center"/>
      </w:pPr>
      <w:r>
        <w:drawing>
          <wp:inline xmlns:a="http://schemas.openxmlformats.org/drawingml/2006/main" xmlns:pic="http://schemas.openxmlformats.org/drawingml/2006/picture">
            <wp:extent cx="6080760" cy="3580646"/>
            <wp:docPr id="3" name="Picture 3"/>
            <wp:cNvGraphicFramePr>
              <a:graphicFrameLocks noChangeAspect="1"/>
            </wp:cNvGraphicFramePr>
            <a:graphic>
              <a:graphicData uri="http://schemas.openxmlformats.org/drawingml/2006/picture">
                <pic:pic>
                  <pic:nvPicPr>
                    <pic:cNvPr id="0" name="dashboard_page_3_product_seller_analysis.png"/>
                    <pic:cNvPicPr/>
                  </pic:nvPicPr>
                  <pic:blipFill>
                    <a:blip r:embed="rId12"/>
                    <a:stretch>
                      <a:fillRect/>
                    </a:stretch>
                  </pic:blipFill>
                  <pic:spPr>
                    <a:xfrm>
                      <a:off x="0" y="0"/>
                      <a:ext cx="6080760" cy="3580646"/>
                    </a:xfrm>
                    <a:prstGeom prst="rect"/>
                  </pic:spPr>
                </pic:pic>
              </a:graphicData>
            </a:graphic>
          </wp:inline>
        </w:drawing>
      </w:r>
    </w:p>
    <w:p>
      <w:pPr>
        <w:jc w:val="center"/>
      </w:pPr>
      <w:r>
        <w:rPr>
          <w:i/>
          <w:color w:val="595959"/>
          <w:sz w:val="17"/>
        </w:rPr>
        <w:t>Figure 3: Product and Seller Analysis dashboard page</w:t>
      </w:r>
    </w:p>
    <w:p>
      <w:pPr>
        <w:pStyle w:val="Heading1"/>
      </w:pPr>
      <w:r>
        <w:rPr>
          <w:color w:val="1F4E79"/>
        </w:rPr>
        <w:t>5. SQL Analysis and Validation</w:t>
      </w:r>
    </w:p>
    <w:p>
      <w:r>
        <w:t>A SQL notebook was created in Google Colab using SQLite. Python was used only to load the Excel files into SQLite tables; the analysis itself was performed using SQL queries. The SQL outputs were used to validate the Power BI dashboard results.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56"/>
        <w:gridCol w:w="3456"/>
        <w:gridCol w:w="3456"/>
      </w:tblGrid>
      <w:tr>
        <w:tc>
          <w:tcPr>
            <w:tcW w:type="dxa" w:w="648"/>
            <w:shd w:fill="1F4E79"/>
            <w:vAlign w:val="center"/>
          </w:tcPr>
          <w:p>
            <w:pPr>
              <w:jc w:val="center"/>
            </w:pPr>
            <w:r>
              <w:rPr>
                <w:b/>
                <w:color w:val="FFFFFF"/>
                <w:sz w:val="17"/>
              </w:rPr>
              <w:t>No.</w:t>
            </w:r>
          </w:p>
        </w:tc>
        <w:tc>
          <w:tcPr>
            <w:tcW w:type="dxa" w:w="3600"/>
            <w:shd w:fill="1F4E79"/>
            <w:vAlign w:val="center"/>
          </w:tcPr>
          <w:p>
            <w:pPr>
              <w:jc w:val="center"/>
            </w:pPr>
            <w:r>
              <w:rPr>
                <w:b/>
                <w:color w:val="FFFFFF"/>
                <w:sz w:val="17"/>
              </w:rPr>
              <w:t>SQL Analysis Area</w:t>
            </w:r>
          </w:p>
        </w:tc>
        <w:tc>
          <w:tcPr>
            <w:tcW w:type="dxa" w:w="5328"/>
            <w:shd w:fill="1F4E79"/>
            <w:vAlign w:val="center"/>
          </w:tcPr>
          <w:p>
            <w:pPr>
              <w:jc w:val="center"/>
            </w:pPr>
            <w:r>
              <w:rPr>
                <w:b/>
                <w:color w:val="FFFFFF"/>
                <w:sz w:val="17"/>
              </w:rPr>
              <w:t>Purpose</w:t>
            </w:r>
          </w:p>
        </w:tc>
      </w:tr>
      <w:tr>
        <w:tc>
          <w:tcPr>
            <w:tcW w:type="dxa" w:w="648"/>
            <w:vAlign w:val="center"/>
          </w:tcPr>
          <w:p>
            <w:pPr>
              <w:jc w:val="left"/>
            </w:pPr>
            <w:r>
              <w:rPr>
                <w:sz w:val="17"/>
              </w:rPr>
              <w:t>1</w:t>
            </w:r>
          </w:p>
        </w:tc>
        <w:tc>
          <w:tcPr>
            <w:tcW w:type="dxa" w:w="3600"/>
            <w:vAlign w:val="center"/>
          </w:tcPr>
          <w:p>
            <w:pPr>
              <w:jc w:val="center"/>
            </w:pPr>
            <w:r>
              <w:rPr>
                <w:sz w:val="17"/>
              </w:rPr>
              <w:t>Overall KPIs</w:t>
            </w:r>
          </w:p>
        </w:tc>
        <w:tc>
          <w:tcPr>
            <w:tcW w:type="dxa" w:w="5328"/>
            <w:vAlign w:val="center"/>
          </w:tcPr>
          <w:p>
            <w:pPr>
              <w:jc w:val="center"/>
            </w:pPr>
            <w:r>
              <w:rPr>
                <w:sz w:val="17"/>
              </w:rPr>
              <w:t>Validate revenue, orders, customers, sellers, products, and AOV</w:t>
            </w:r>
          </w:p>
        </w:tc>
      </w:tr>
      <w:tr>
        <w:tc>
          <w:tcPr>
            <w:tcW w:type="dxa" w:w="648"/>
            <w:vAlign w:val="center"/>
          </w:tcPr>
          <w:p>
            <w:pPr>
              <w:jc w:val="left"/>
            </w:pPr>
            <w:r>
              <w:rPr>
                <w:sz w:val="17"/>
              </w:rPr>
              <w:t>2</w:t>
            </w:r>
          </w:p>
        </w:tc>
        <w:tc>
          <w:tcPr>
            <w:tcW w:type="dxa" w:w="3600"/>
            <w:vAlign w:val="center"/>
          </w:tcPr>
          <w:p>
            <w:pPr>
              <w:jc w:val="center"/>
            </w:pPr>
            <w:r>
              <w:rPr>
                <w:sz w:val="17"/>
              </w:rPr>
              <w:t>Revenue by Year</w:t>
            </w:r>
          </w:p>
        </w:tc>
        <w:tc>
          <w:tcPr>
            <w:tcW w:type="dxa" w:w="5328"/>
            <w:vAlign w:val="center"/>
          </w:tcPr>
          <w:p>
            <w:pPr>
              <w:jc w:val="center"/>
            </w:pPr>
            <w:r>
              <w:rPr>
                <w:sz w:val="17"/>
              </w:rPr>
              <w:t>Validate yearly revenue and order trends</w:t>
            </w:r>
          </w:p>
        </w:tc>
      </w:tr>
      <w:tr>
        <w:tc>
          <w:tcPr>
            <w:tcW w:type="dxa" w:w="648"/>
            <w:vAlign w:val="center"/>
          </w:tcPr>
          <w:p>
            <w:pPr>
              <w:jc w:val="left"/>
            </w:pPr>
            <w:r>
              <w:rPr>
                <w:sz w:val="17"/>
              </w:rPr>
              <w:t>3</w:t>
            </w:r>
          </w:p>
        </w:tc>
        <w:tc>
          <w:tcPr>
            <w:tcW w:type="dxa" w:w="3600"/>
            <w:vAlign w:val="center"/>
          </w:tcPr>
          <w:p>
            <w:pPr>
              <w:jc w:val="center"/>
            </w:pPr>
            <w:r>
              <w:rPr>
                <w:sz w:val="17"/>
              </w:rPr>
              <w:t>Monthly Revenue Trend</w:t>
            </w:r>
          </w:p>
        </w:tc>
        <w:tc>
          <w:tcPr>
            <w:tcW w:type="dxa" w:w="5328"/>
            <w:vAlign w:val="center"/>
          </w:tcPr>
          <w:p>
            <w:pPr>
              <w:jc w:val="center"/>
            </w:pPr>
            <w:r>
              <w:rPr>
                <w:sz w:val="17"/>
              </w:rPr>
              <w:t>Analyze month-wise order and revenue movement</w:t>
            </w:r>
          </w:p>
        </w:tc>
      </w:tr>
      <w:tr>
        <w:tc>
          <w:tcPr>
            <w:tcW w:type="dxa" w:w="648"/>
            <w:vAlign w:val="center"/>
          </w:tcPr>
          <w:p>
            <w:pPr>
              <w:jc w:val="left"/>
            </w:pPr>
            <w:r>
              <w:rPr>
                <w:sz w:val="17"/>
              </w:rPr>
              <w:t>4</w:t>
            </w:r>
          </w:p>
        </w:tc>
        <w:tc>
          <w:tcPr>
            <w:tcW w:type="dxa" w:w="3600"/>
            <w:vAlign w:val="center"/>
          </w:tcPr>
          <w:p>
            <w:pPr>
              <w:jc w:val="center"/>
            </w:pPr>
            <w:r>
              <w:rPr>
                <w:sz w:val="17"/>
              </w:rPr>
              <w:t>Top Product Categories by Revenue</w:t>
            </w:r>
          </w:p>
        </w:tc>
        <w:tc>
          <w:tcPr>
            <w:tcW w:type="dxa" w:w="5328"/>
            <w:vAlign w:val="center"/>
          </w:tcPr>
          <w:p>
            <w:pPr>
              <w:jc w:val="center"/>
            </w:pPr>
            <w:r>
              <w:rPr>
                <w:sz w:val="17"/>
              </w:rPr>
              <w:t>Identify highest revenue-generating categories</w:t>
            </w:r>
          </w:p>
        </w:tc>
      </w:tr>
      <w:tr>
        <w:tc>
          <w:tcPr>
            <w:tcW w:type="dxa" w:w="648"/>
            <w:vAlign w:val="center"/>
          </w:tcPr>
          <w:p>
            <w:pPr>
              <w:jc w:val="left"/>
            </w:pPr>
            <w:r>
              <w:rPr>
                <w:sz w:val="17"/>
              </w:rPr>
              <w:t>5</w:t>
            </w:r>
          </w:p>
        </w:tc>
        <w:tc>
          <w:tcPr>
            <w:tcW w:type="dxa" w:w="3600"/>
            <w:vAlign w:val="center"/>
          </w:tcPr>
          <w:p>
            <w:pPr>
              <w:jc w:val="center"/>
            </w:pPr>
            <w:r>
              <w:rPr>
                <w:sz w:val="17"/>
              </w:rPr>
              <w:t>Revenue by Customer State</w:t>
            </w:r>
          </w:p>
        </w:tc>
        <w:tc>
          <w:tcPr>
            <w:tcW w:type="dxa" w:w="5328"/>
            <w:vAlign w:val="center"/>
          </w:tcPr>
          <w:p>
            <w:pPr>
              <w:jc w:val="center"/>
            </w:pPr>
            <w:r>
              <w:rPr>
                <w:sz w:val="17"/>
              </w:rPr>
              <w:t>Find strongest customer markets by state</w:t>
            </w:r>
          </w:p>
        </w:tc>
      </w:tr>
      <w:tr>
        <w:tc>
          <w:tcPr>
            <w:tcW w:type="dxa" w:w="648"/>
            <w:vAlign w:val="center"/>
          </w:tcPr>
          <w:p>
            <w:pPr>
              <w:jc w:val="left"/>
            </w:pPr>
            <w:r>
              <w:rPr>
                <w:sz w:val="17"/>
              </w:rPr>
              <w:t>6</w:t>
            </w:r>
          </w:p>
        </w:tc>
        <w:tc>
          <w:tcPr>
            <w:tcW w:type="dxa" w:w="3600"/>
            <w:vAlign w:val="center"/>
          </w:tcPr>
          <w:p>
            <w:pPr>
              <w:jc w:val="center"/>
            </w:pPr>
            <w:r>
              <w:rPr>
                <w:sz w:val="17"/>
              </w:rPr>
              <w:t>Payment Method Contribution</w:t>
            </w:r>
          </w:p>
        </w:tc>
        <w:tc>
          <w:tcPr>
            <w:tcW w:type="dxa" w:w="5328"/>
            <w:vAlign w:val="center"/>
          </w:tcPr>
          <w:p>
            <w:pPr>
              <w:jc w:val="center"/>
            </w:pPr>
            <w:r>
              <w:rPr>
                <w:sz w:val="17"/>
              </w:rPr>
              <w:t>Measure payment value and percentage by method</w:t>
            </w:r>
          </w:p>
        </w:tc>
      </w:tr>
      <w:tr>
        <w:tc>
          <w:tcPr>
            <w:tcW w:type="dxa" w:w="648"/>
            <w:vAlign w:val="center"/>
          </w:tcPr>
          <w:p>
            <w:pPr>
              <w:jc w:val="left"/>
            </w:pPr>
            <w:r>
              <w:rPr>
                <w:sz w:val="17"/>
              </w:rPr>
              <w:t>7</w:t>
            </w:r>
          </w:p>
        </w:tc>
        <w:tc>
          <w:tcPr>
            <w:tcW w:type="dxa" w:w="3600"/>
            <w:vAlign w:val="center"/>
          </w:tcPr>
          <w:p>
            <w:pPr>
              <w:jc w:val="center"/>
            </w:pPr>
            <w:r>
              <w:rPr>
                <w:sz w:val="17"/>
              </w:rPr>
              <w:t>Delivery Status Analysis</w:t>
            </w:r>
          </w:p>
        </w:tc>
        <w:tc>
          <w:tcPr>
            <w:tcW w:type="dxa" w:w="5328"/>
            <w:vAlign w:val="center"/>
          </w:tcPr>
          <w:p>
            <w:pPr>
              <w:jc w:val="center"/>
            </w:pPr>
            <w:r>
              <w:rPr>
                <w:sz w:val="17"/>
              </w:rPr>
              <w:t>Classify orders as on-time/early, delayed, or not delivered</w:t>
            </w:r>
          </w:p>
        </w:tc>
      </w:tr>
      <w:tr>
        <w:tc>
          <w:tcPr>
            <w:tcW w:type="dxa" w:w="648"/>
            <w:vAlign w:val="center"/>
          </w:tcPr>
          <w:p>
            <w:pPr>
              <w:jc w:val="left"/>
            </w:pPr>
            <w:r>
              <w:rPr>
                <w:sz w:val="17"/>
              </w:rPr>
              <w:t>8</w:t>
            </w:r>
          </w:p>
        </w:tc>
        <w:tc>
          <w:tcPr>
            <w:tcW w:type="dxa" w:w="3600"/>
            <w:vAlign w:val="center"/>
          </w:tcPr>
          <w:p>
            <w:pPr>
              <w:jc w:val="center"/>
            </w:pPr>
            <w:r>
              <w:rPr>
                <w:sz w:val="17"/>
              </w:rPr>
              <w:t>Delivery Performance by State</w:t>
            </w:r>
          </w:p>
        </w:tc>
        <w:tc>
          <w:tcPr>
            <w:tcW w:type="dxa" w:w="5328"/>
            <w:vAlign w:val="center"/>
          </w:tcPr>
          <w:p>
            <w:pPr>
              <w:jc w:val="center"/>
            </w:pPr>
            <w:r>
              <w:rPr>
                <w:sz w:val="17"/>
              </w:rPr>
              <w:t>Analyze state-level delivery delay risk</w:t>
            </w:r>
          </w:p>
        </w:tc>
      </w:tr>
      <w:tr>
        <w:tc>
          <w:tcPr>
            <w:tcW w:type="dxa" w:w="648"/>
            <w:vAlign w:val="center"/>
          </w:tcPr>
          <w:p>
            <w:pPr>
              <w:jc w:val="left"/>
            </w:pPr>
            <w:r>
              <w:rPr>
                <w:sz w:val="17"/>
              </w:rPr>
              <w:t>9</w:t>
            </w:r>
          </w:p>
        </w:tc>
        <w:tc>
          <w:tcPr>
            <w:tcW w:type="dxa" w:w="3600"/>
            <w:vAlign w:val="center"/>
          </w:tcPr>
          <w:p>
            <w:pPr>
              <w:jc w:val="center"/>
            </w:pPr>
            <w:r>
              <w:rPr>
                <w:sz w:val="17"/>
              </w:rPr>
              <w:t>Review Score by Delivery Status</w:t>
            </w:r>
          </w:p>
        </w:tc>
        <w:tc>
          <w:tcPr>
            <w:tcW w:type="dxa" w:w="5328"/>
            <w:vAlign w:val="center"/>
          </w:tcPr>
          <w:p>
            <w:pPr>
              <w:jc w:val="center"/>
            </w:pPr>
            <w:r>
              <w:rPr>
                <w:sz w:val="17"/>
              </w:rPr>
              <w:t>Measure how delivery affects satisfaction</w:t>
            </w:r>
          </w:p>
        </w:tc>
      </w:tr>
      <w:tr>
        <w:tc>
          <w:tcPr>
            <w:tcW w:type="dxa" w:w="648"/>
            <w:vAlign w:val="center"/>
          </w:tcPr>
          <w:p>
            <w:pPr>
              <w:jc w:val="left"/>
            </w:pPr>
            <w:r>
              <w:rPr>
                <w:sz w:val="17"/>
              </w:rPr>
              <w:t>10</w:t>
            </w:r>
          </w:p>
        </w:tc>
        <w:tc>
          <w:tcPr>
            <w:tcW w:type="dxa" w:w="3600"/>
            <w:vAlign w:val="center"/>
          </w:tcPr>
          <w:p>
            <w:pPr>
              <w:jc w:val="center"/>
            </w:pPr>
            <w:r>
              <w:rPr>
                <w:sz w:val="17"/>
              </w:rPr>
              <w:t>Review Score Distribution</w:t>
            </w:r>
          </w:p>
        </w:tc>
        <w:tc>
          <w:tcPr>
            <w:tcW w:type="dxa" w:w="5328"/>
            <w:vAlign w:val="center"/>
          </w:tcPr>
          <w:p>
            <w:pPr>
              <w:jc w:val="center"/>
            </w:pPr>
            <w:r>
              <w:rPr>
                <w:sz w:val="17"/>
              </w:rPr>
              <w:t>Analyze customer review pattern</w:t>
            </w:r>
          </w:p>
        </w:tc>
      </w:tr>
      <w:tr>
        <w:tc>
          <w:tcPr>
            <w:tcW w:type="dxa" w:w="648"/>
            <w:vAlign w:val="center"/>
          </w:tcPr>
          <w:p>
            <w:pPr>
              <w:jc w:val="left"/>
            </w:pPr>
            <w:r>
              <w:rPr>
                <w:sz w:val="17"/>
              </w:rPr>
              <w:t>11</w:t>
            </w:r>
          </w:p>
        </w:tc>
        <w:tc>
          <w:tcPr>
            <w:tcW w:type="dxa" w:w="3600"/>
            <w:vAlign w:val="center"/>
          </w:tcPr>
          <w:p>
            <w:pPr>
              <w:jc w:val="center"/>
            </w:pPr>
            <w:r>
              <w:rPr>
                <w:sz w:val="17"/>
              </w:rPr>
              <w:t>Top Sellers by Revenue</w:t>
            </w:r>
          </w:p>
        </w:tc>
        <w:tc>
          <w:tcPr>
            <w:tcW w:type="dxa" w:w="5328"/>
            <w:vAlign w:val="center"/>
          </w:tcPr>
          <w:p>
            <w:pPr>
              <w:jc w:val="center"/>
            </w:pPr>
            <w:r>
              <w:rPr>
                <w:sz w:val="17"/>
              </w:rPr>
              <w:t>Identify top seller contribution</w:t>
            </w:r>
          </w:p>
        </w:tc>
      </w:tr>
      <w:tr>
        <w:tc>
          <w:tcPr>
            <w:tcW w:type="dxa" w:w="648"/>
            <w:vAlign w:val="center"/>
          </w:tcPr>
          <w:p>
            <w:pPr>
              <w:jc w:val="left"/>
            </w:pPr>
            <w:r>
              <w:rPr>
                <w:sz w:val="17"/>
              </w:rPr>
              <w:t>12</w:t>
            </w:r>
          </w:p>
        </w:tc>
        <w:tc>
          <w:tcPr>
            <w:tcW w:type="dxa" w:w="3600"/>
            <w:vAlign w:val="center"/>
          </w:tcPr>
          <w:p>
            <w:pPr>
              <w:jc w:val="center"/>
            </w:pPr>
            <w:r>
              <w:rPr>
                <w:sz w:val="17"/>
              </w:rPr>
              <w:t>Revenue by Seller State</w:t>
            </w:r>
          </w:p>
        </w:tc>
        <w:tc>
          <w:tcPr>
            <w:tcW w:type="dxa" w:w="5328"/>
            <w:vAlign w:val="center"/>
          </w:tcPr>
          <w:p>
            <w:pPr>
              <w:jc w:val="center"/>
            </w:pPr>
            <w:r>
              <w:rPr>
                <w:sz w:val="17"/>
              </w:rPr>
              <w:t>Analyze seller geography performance</w:t>
            </w:r>
          </w:p>
        </w:tc>
      </w:tr>
      <w:tr>
        <w:tc>
          <w:tcPr>
            <w:tcW w:type="dxa" w:w="648"/>
            <w:vAlign w:val="center"/>
          </w:tcPr>
          <w:p>
            <w:pPr>
              <w:jc w:val="left"/>
            </w:pPr>
            <w:r>
              <w:rPr>
                <w:sz w:val="17"/>
              </w:rPr>
              <w:t>13</w:t>
            </w:r>
          </w:p>
        </w:tc>
        <w:tc>
          <w:tcPr>
            <w:tcW w:type="dxa" w:w="3600"/>
            <w:vAlign w:val="center"/>
          </w:tcPr>
          <w:p>
            <w:pPr>
              <w:jc w:val="center"/>
            </w:pPr>
            <w:r>
              <w:rPr>
                <w:sz w:val="17"/>
              </w:rPr>
              <w:t>Top Product Categories by Orders</w:t>
            </w:r>
          </w:p>
        </w:tc>
        <w:tc>
          <w:tcPr>
            <w:tcW w:type="dxa" w:w="5328"/>
            <w:vAlign w:val="center"/>
          </w:tcPr>
          <w:p>
            <w:pPr>
              <w:jc w:val="center"/>
            </w:pPr>
            <w:r>
              <w:rPr>
                <w:sz w:val="17"/>
              </w:rPr>
              <w:t>Compare order volume by category</w:t>
            </w:r>
          </w:p>
        </w:tc>
      </w:tr>
      <w:tr>
        <w:tc>
          <w:tcPr>
            <w:tcW w:type="dxa" w:w="648"/>
            <w:vAlign w:val="center"/>
          </w:tcPr>
          <w:p>
            <w:pPr>
              <w:jc w:val="left"/>
            </w:pPr>
            <w:r>
              <w:rPr>
                <w:sz w:val="17"/>
              </w:rPr>
              <w:t>14</w:t>
            </w:r>
          </w:p>
        </w:tc>
        <w:tc>
          <w:tcPr>
            <w:tcW w:type="dxa" w:w="3600"/>
            <w:vAlign w:val="center"/>
          </w:tcPr>
          <w:p>
            <w:pPr>
              <w:jc w:val="center"/>
            </w:pPr>
            <w:r>
              <w:rPr>
                <w:sz w:val="17"/>
              </w:rPr>
              <w:t>Delayed Orders by Customer State</w:t>
            </w:r>
          </w:p>
        </w:tc>
        <w:tc>
          <w:tcPr>
            <w:tcW w:type="dxa" w:w="5328"/>
            <w:vAlign w:val="center"/>
          </w:tcPr>
          <w:p>
            <w:pPr>
              <w:jc w:val="center"/>
            </w:pPr>
            <w:r>
              <w:rPr>
                <w:sz w:val="17"/>
              </w:rPr>
              <w:t>Find states with the largest delayed order counts</w:t>
            </w:r>
          </w:p>
        </w:tc>
      </w:tr>
      <w:tr>
        <w:tc>
          <w:tcPr>
            <w:tcW w:type="dxa" w:w="648"/>
            <w:vAlign w:val="center"/>
          </w:tcPr>
          <w:p>
            <w:pPr>
              <w:jc w:val="left"/>
            </w:pPr>
            <w:r>
              <w:rPr>
                <w:sz w:val="17"/>
              </w:rPr>
              <w:t>15</w:t>
            </w:r>
          </w:p>
        </w:tc>
        <w:tc>
          <w:tcPr>
            <w:tcW w:type="dxa" w:w="3600"/>
            <w:vAlign w:val="center"/>
          </w:tcPr>
          <w:p>
            <w:pPr>
              <w:jc w:val="center"/>
            </w:pPr>
            <w:r>
              <w:rPr>
                <w:sz w:val="17"/>
              </w:rPr>
              <w:t>Average Delivery Days by State</w:t>
            </w:r>
          </w:p>
        </w:tc>
        <w:tc>
          <w:tcPr>
            <w:tcW w:type="dxa" w:w="5328"/>
            <w:vAlign w:val="center"/>
          </w:tcPr>
          <w:p>
            <w:pPr>
              <w:jc w:val="center"/>
            </w:pPr>
            <w:r>
              <w:rPr>
                <w:sz w:val="17"/>
              </w:rPr>
              <w:t>Find slowest delivery states</w:t>
            </w:r>
          </w:p>
        </w:tc>
      </w:tr>
    </w:tbl>
    <w:p>
      <w:pPr>
        <w:pStyle w:val="Heading1"/>
      </w:pPr>
      <w:r>
        <w:rPr>
          <w:color w:val="1F4E79"/>
        </w:rPr>
        <w:t>6. Key SQL-Validated Findings</w:t>
      </w:r>
    </w:p>
    <w:p>
      <w:pPr>
        <w:pStyle w:val="Heading2"/>
      </w:pPr>
      <w:r>
        <w:rPr>
          <w:color w:val="1F4E79"/>
        </w:rPr>
        <w:t>6.1 Revenue and Growth</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1440"/>
            <w:shd w:fill="1F4E79"/>
            <w:vAlign w:val="center"/>
          </w:tcPr>
          <w:p>
            <w:pPr>
              <w:jc w:val="center"/>
            </w:pPr>
            <w:r>
              <w:rPr>
                <w:b/>
                <w:color w:val="FFFFFF"/>
                <w:sz w:val="17"/>
              </w:rPr>
              <w:t>Year</w:t>
            </w:r>
          </w:p>
        </w:tc>
        <w:tc>
          <w:tcPr>
            <w:tcW w:type="dxa" w:w="2304"/>
            <w:shd w:fill="1F4E79"/>
            <w:vAlign w:val="center"/>
          </w:tcPr>
          <w:p>
            <w:pPr>
              <w:jc w:val="center"/>
            </w:pPr>
            <w:r>
              <w:rPr>
                <w:b/>
                <w:color w:val="FFFFFF"/>
                <w:sz w:val="17"/>
              </w:rPr>
              <w:t>Total Orders</w:t>
            </w:r>
          </w:p>
        </w:tc>
        <w:tc>
          <w:tcPr>
            <w:tcW w:type="dxa" w:w="2304"/>
            <w:shd w:fill="1F4E79"/>
            <w:vAlign w:val="center"/>
          </w:tcPr>
          <w:p>
            <w:pPr>
              <w:jc w:val="center"/>
            </w:pPr>
            <w:r>
              <w:rPr>
                <w:b/>
                <w:color w:val="FFFFFF"/>
                <w:sz w:val="17"/>
              </w:rPr>
              <w:t>Item Orders</w:t>
            </w:r>
          </w:p>
        </w:tc>
        <w:tc>
          <w:tcPr>
            <w:tcW w:type="dxa" w:w="2592"/>
            <w:shd w:fill="1F4E79"/>
            <w:vAlign w:val="center"/>
          </w:tcPr>
          <w:p>
            <w:pPr>
              <w:jc w:val="center"/>
            </w:pPr>
            <w:r>
              <w:rPr>
                <w:b/>
                <w:color w:val="FFFFFF"/>
                <w:sz w:val="17"/>
              </w:rPr>
              <w:t>Total Revenue</w:t>
            </w:r>
          </w:p>
        </w:tc>
      </w:tr>
      <w:tr>
        <w:tc>
          <w:tcPr>
            <w:tcW w:type="dxa" w:w="1440"/>
            <w:vAlign w:val="center"/>
          </w:tcPr>
          <w:p>
            <w:pPr>
              <w:jc w:val="left"/>
            </w:pPr>
            <w:r>
              <w:rPr>
                <w:sz w:val="17"/>
              </w:rPr>
              <w:t>2016</w:t>
            </w:r>
          </w:p>
        </w:tc>
        <w:tc>
          <w:tcPr>
            <w:tcW w:type="dxa" w:w="2304"/>
            <w:vAlign w:val="center"/>
          </w:tcPr>
          <w:p>
            <w:pPr>
              <w:jc w:val="center"/>
            </w:pPr>
            <w:r>
              <w:rPr>
                <w:sz w:val="17"/>
              </w:rPr>
              <w:t>329</w:t>
            </w:r>
          </w:p>
        </w:tc>
        <w:tc>
          <w:tcPr>
            <w:tcW w:type="dxa" w:w="2304"/>
            <w:vAlign w:val="center"/>
          </w:tcPr>
          <w:p>
            <w:pPr>
              <w:jc w:val="center"/>
            </w:pPr>
            <w:r>
              <w:rPr>
                <w:sz w:val="17"/>
              </w:rPr>
              <w:t>312</w:t>
            </w:r>
          </w:p>
        </w:tc>
        <w:tc>
          <w:tcPr>
            <w:tcW w:type="dxa" w:w="2592"/>
            <w:vAlign w:val="center"/>
          </w:tcPr>
          <w:p>
            <w:pPr>
              <w:jc w:val="center"/>
            </w:pPr>
            <w:r>
              <w:rPr>
                <w:sz w:val="17"/>
              </w:rPr>
              <w:t>49,785.92</w:t>
            </w:r>
          </w:p>
        </w:tc>
      </w:tr>
      <w:tr>
        <w:tc>
          <w:tcPr>
            <w:tcW w:type="dxa" w:w="1440"/>
            <w:vAlign w:val="center"/>
          </w:tcPr>
          <w:p>
            <w:pPr>
              <w:jc w:val="left"/>
            </w:pPr>
            <w:r>
              <w:rPr>
                <w:sz w:val="17"/>
              </w:rPr>
              <w:t>2017</w:t>
            </w:r>
          </w:p>
        </w:tc>
        <w:tc>
          <w:tcPr>
            <w:tcW w:type="dxa" w:w="2304"/>
            <w:vAlign w:val="center"/>
          </w:tcPr>
          <w:p>
            <w:pPr>
              <w:jc w:val="center"/>
            </w:pPr>
            <w:r>
              <w:rPr>
                <w:sz w:val="17"/>
              </w:rPr>
              <w:t>45,101</w:t>
            </w:r>
          </w:p>
        </w:tc>
        <w:tc>
          <w:tcPr>
            <w:tcW w:type="dxa" w:w="2304"/>
            <w:vAlign w:val="center"/>
          </w:tcPr>
          <w:p>
            <w:pPr>
              <w:jc w:val="center"/>
            </w:pPr>
            <w:r>
              <w:rPr>
                <w:sz w:val="17"/>
              </w:rPr>
              <w:t>44,579</w:t>
            </w:r>
          </w:p>
        </w:tc>
        <w:tc>
          <w:tcPr>
            <w:tcW w:type="dxa" w:w="2592"/>
            <w:vAlign w:val="center"/>
          </w:tcPr>
          <w:p>
            <w:pPr>
              <w:jc w:val="center"/>
            </w:pPr>
            <w:r>
              <w:rPr>
                <w:sz w:val="17"/>
              </w:rPr>
              <w:t>6,155,806.98</w:t>
            </w:r>
          </w:p>
        </w:tc>
      </w:tr>
      <w:tr>
        <w:tc>
          <w:tcPr>
            <w:tcW w:type="dxa" w:w="1440"/>
            <w:vAlign w:val="center"/>
          </w:tcPr>
          <w:p>
            <w:pPr>
              <w:jc w:val="left"/>
            </w:pPr>
            <w:r>
              <w:rPr>
                <w:sz w:val="17"/>
              </w:rPr>
              <w:t>2018</w:t>
            </w:r>
          </w:p>
        </w:tc>
        <w:tc>
          <w:tcPr>
            <w:tcW w:type="dxa" w:w="2304"/>
            <w:vAlign w:val="center"/>
          </w:tcPr>
          <w:p>
            <w:pPr>
              <w:jc w:val="center"/>
            </w:pPr>
            <w:r>
              <w:rPr>
                <w:sz w:val="17"/>
              </w:rPr>
              <w:t>54,011</w:t>
            </w:r>
          </w:p>
        </w:tc>
        <w:tc>
          <w:tcPr>
            <w:tcW w:type="dxa" w:w="2304"/>
            <w:vAlign w:val="center"/>
          </w:tcPr>
          <w:p>
            <w:pPr>
              <w:jc w:val="center"/>
            </w:pPr>
            <w:r>
              <w:rPr>
                <w:sz w:val="17"/>
              </w:rPr>
              <w:t>53,775</w:t>
            </w:r>
          </w:p>
        </w:tc>
        <w:tc>
          <w:tcPr>
            <w:tcW w:type="dxa" w:w="2592"/>
            <w:vAlign w:val="center"/>
          </w:tcPr>
          <w:p>
            <w:pPr>
              <w:jc w:val="center"/>
            </w:pPr>
            <w:r>
              <w:rPr>
                <w:sz w:val="17"/>
              </w:rPr>
              <w:t>7,386,050.80</w:t>
            </w:r>
          </w:p>
        </w:tc>
      </w:tr>
    </w:tbl>
    <w:p>
      <w:r>
        <w:t>Revenue grew strongly from 2017 to 2018. The highest monthly revenue periods included November 2017, April 2018, and May 2018.</w:t>
      </w:r>
    </w:p>
    <w:p>
      <w:pPr>
        <w:pStyle w:val="Heading2"/>
      </w:pPr>
      <w:r>
        <w:rPr>
          <w:color w:val="1F4E79"/>
        </w:rPr>
        <w:t>6.2 Product Category Performance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3456"/>
            <w:shd w:fill="1F4E79"/>
            <w:vAlign w:val="center"/>
          </w:tcPr>
          <w:p>
            <w:pPr>
              <w:jc w:val="center"/>
            </w:pPr>
            <w:r>
              <w:rPr>
                <w:b/>
                <w:color w:val="FFFFFF"/>
                <w:sz w:val="17"/>
              </w:rPr>
              <w:t>Category</w:t>
            </w:r>
          </w:p>
        </w:tc>
        <w:tc>
          <w:tcPr>
            <w:tcW w:type="dxa" w:w="1584"/>
            <w:shd w:fill="1F4E79"/>
            <w:vAlign w:val="center"/>
          </w:tcPr>
          <w:p>
            <w:pPr>
              <w:jc w:val="center"/>
            </w:pPr>
            <w:r>
              <w:rPr>
                <w:b/>
                <w:color w:val="FFFFFF"/>
                <w:sz w:val="17"/>
              </w:rPr>
              <w:t>Orders</w:t>
            </w:r>
          </w:p>
        </w:tc>
        <w:tc>
          <w:tcPr>
            <w:tcW w:type="dxa" w:w="1728"/>
            <w:shd w:fill="1F4E79"/>
            <w:vAlign w:val="center"/>
          </w:tcPr>
          <w:p>
            <w:pPr>
              <w:jc w:val="center"/>
            </w:pPr>
            <w:r>
              <w:rPr>
                <w:b/>
                <w:color w:val="FFFFFF"/>
                <w:sz w:val="17"/>
              </w:rPr>
              <w:t>Items Sold</w:t>
            </w:r>
          </w:p>
        </w:tc>
        <w:tc>
          <w:tcPr>
            <w:tcW w:type="dxa" w:w="2160"/>
            <w:shd w:fill="1F4E79"/>
            <w:vAlign w:val="center"/>
          </w:tcPr>
          <w:p>
            <w:pPr>
              <w:jc w:val="center"/>
            </w:pPr>
            <w:r>
              <w:rPr>
                <w:b/>
                <w:color w:val="FFFFFF"/>
                <w:sz w:val="17"/>
              </w:rPr>
              <w:t>Revenue</w:t>
            </w:r>
          </w:p>
        </w:tc>
      </w:tr>
      <w:tr>
        <w:tc>
          <w:tcPr>
            <w:tcW w:type="dxa" w:w="3456"/>
            <w:vAlign w:val="center"/>
          </w:tcPr>
          <w:p>
            <w:pPr>
              <w:jc w:val="left"/>
            </w:pPr>
            <w:r>
              <w:rPr>
                <w:sz w:val="17"/>
              </w:rPr>
              <w:t>Health Beauty</w:t>
            </w:r>
          </w:p>
        </w:tc>
        <w:tc>
          <w:tcPr>
            <w:tcW w:type="dxa" w:w="1584"/>
            <w:vAlign w:val="center"/>
          </w:tcPr>
          <w:p>
            <w:pPr>
              <w:jc w:val="center"/>
            </w:pPr>
            <w:r>
              <w:rPr>
                <w:sz w:val="17"/>
              </w:rPr>
              <w:t>8,836</w:t>
            </w:r>
          </w:p>
        </w:tc>
        <w:tc>
          <w:tcPr>
            <w:tcW w:type="dxa" w:w="1728"/>
            <w:vAlign w:val="center"/>
          </w:tcPr>
          <w:p>
            <w:pPr>
              <w:jc w:val="center"/>
            </w:pPr>
            <w:r>
              <w:rPr>
                <w:sz w:val="17"/>
              </w:rPr>
              <w:t>9,670</w:t>
            </w:r>
          </w:p>
        </w:tc>
        <w:tc>
          <w:tcPr>
            <w:tcW w:type="dxa" w:w="2160"/>
            <w:vAlign w:val="center"/>
          </w:tcPr>
          <w:p>
            <w:pPr>
              <w:jc w:val="center"/>
            </w:pPr>
            <w:r>
              <w:rPr>
                <w:sz w:val="17"/>
              </w:rPr>
              <w:t>1,258,681.34</w:t>
            </w:r>
          </w:p>
        </w:tc>
      </w:tr>
      <w:tr>
        <w:tc>
          <w:tcPr>
            <w:tcW w:type="dxa" w:w="3456"/>
            <w:vAlign w:val="center"/>
          </w:tcPr>
          <w:p>
            <w:pPr>
              <w:jc w:val="left"/>
            </w:pPr>
            <w:r>
              <w:rPr>
                <w:sz w:val="17"/>
              </w:rPr>
              <w:t>Watches Gifts</w:t>
            </w:r>
          </w:p>
        </w:tc>
        <w:tc>
          <w:tcPr>
            <w:tcW w:type="dxa" w:w="1584"/>
            <w:vAlign w:val="center"/>
          </w:tcPr>
          <w:p>
            <w:pPr>
              <w:jc w:val="center"/>
            </w:pPr>
            <w:r>
              <w:rPr>
                <w:sz w:val="17"/>
              </w:rPr>
              <w:t>5,624</w:t>
            </w:r>
          </w:p>
        </w:tc>
        <w:tc>
          <w:tcPr>
            <w:tcW w:type="dxa" w:w="1728"/>
            <w:vAlign w:val="center"/>
          </w:tcPr>
          <w:p>
            <w:pPr>
              <w:jc w:val="center"/>
            </w:pPr>
            <w:r>
              <w:rPr>
                <w:sz w:val="17"/>
              </w:rPr>
              <w:t>5,991</w:t>
            </w:r>
          </w:p>
        </w:tc>
        <w:tc>
          <w:tcPr>
            <w:tcW w:type="dxa" w:w="2160"/>
            <w:vAlign w:val="center"/>
          </w:tcPr>
          <w:p>
            <w:pPr>
              <w:jc w:val="center"/>
            </w:pPr>
            <w:r>
              <w:rPr>
                <w:sz w:val="17"/>
              </w:rPr>
              <w:t>1,205,005.68</w:t>
            </w:r>
          </w:p>
        </w:tc>
      </w:tr>
      <w:tr>
        <w:tc>
          <w:tcPr>
            <w:tcW w:type="dxa" w:w="3456"/>
            <w:vAlign w:val="center"/>
          </w:tcPr>
          <w:p>
            <w:pPr>
              <w:jc w:val="left"/>
            </w:pPr>
            <w:r>
              <w:rPr>
                <w:sz w:val="17"/>
              </w:rPr>
              <w:t>Bed Bath Table</w:t>
            </w:r>
          </w:p>
        </w:tc>
        <w:tc>
          <w:tcPr>
            <w:tcW w:type="dxa" w:w="1584"/>
            <w:vAlign w:val="center"/>
          </w:tcPr>
          <w:p>
            <w:pPr>
              <w:jc w:val="center"/>
            </w:pPr>
            <w:r>
              <w:rPr>
                <w:sz w:val="17"/>
              </w:rPr>
              <w:t>9,417</w:t>
            </w:r>
          </w:p>
        </w:tc>
        <w:tc>
          <w:tcPr>
            <w:tcW w:type="dxa" w:w="1728"/>
            <w:vAlign w:val="center"/>
          </w:tcPr>
          <w:p>
            <w:pPr>
              <w:jc w:val="center"/>
            </w:pPr>
            <w:r>
              <w:rPr>
                <w:sz w:val="17"/>
              </w:rPr>
              <w:t>11,115</w:t>
            </w:r>
          </w:p>
        </w:tc>
        <w:tc>
          <w:tcPr>
            <w:tcW w:type="dxa" w:w="2160"/>
            <w:vAlign w:val="center"/>
          </w:tcPr>
          <w:p>
            <w:pPr>
              <w:jc w:val="center"/>
            </w:pPr>
            <w:r>
              <w:rPr>
                <w:sz w:val="17"/>
              </w:rPr>
              <w:t>1,036,988.68</w:t>
            </w:r>
          </w:p>
        </w:tc>
      </w:tr>
      <w:tr>
        <w:tc>
          <w:tcPr>
            <w:tcW w:type="dxa" w:w="3456"/>
            <w:vAlign w:val="center"/>
          </w:tcPr>
          <w:p>
            <w:pPr>
              <w:jc w:val="left"/>
            </w:pPr>
            <w:r>
              <w:rPr>
                <w:sz w:val="17"/>
              </w:rPr>
              <w:t>Sports Leisure</w:t>
            </w:r>
          </w:p>
        </w:tc>
        <w:tc>
          <w:tcPr>
            <w:tcW w:type="dxa" w:w="1584"/>
            <w:vAlign w:val="center"/>
          </w:tcPr>
          <w:p>
            <w:pPr>
              <w:jc w:val="center"/>
            </w:pPr>
            <w:r>
              <w:rPr>
                <w:sz w:val="17"/>
              </w:rPr>
              <w:t>7,720</w:t>
            </w:r>
          </w:p>
        </w:tc>
        <w:tc>
          <w:tcPr>
            <w:tcW w:type="dxa" w:w="1728"/>
            <w:vAlign w:val="center"/>
          </w:tcPr>
          <w:p>
            <w:pPr>
              <w:jc w:val="center"/>
            </w:pPr>
            <w:r>
              <w:rPr>
                <w:sz w:val="17"/>
              </w:rPr>
              <w:t>8,641</w:t>
            </w:r>
          </w:p>
        </w:tc>
        <w:tc>
          <w:tcPr>
            <w:tcW w:type="dxa" w:w="2160"/>
            <w:vAlign w:val="center"/>
          </w:tcPr>
          <w:p>
            <w:pPr>
              <w:jc w:val="center"/>
            </w:pPr>
            <w:r>
              <w:rPr>
                <w:sz w:val="17"/>
              </w:rPr>
              <w:t>988,048.97</w:t>
            </w:r>
          </w:p>
        </w:tc>
      </w:tr>
      <w:tr>
        <w:tc>
          <w:tcPr>
            <w:tcW w:type="dxa" w:w="3456"/>
            <w:vAlign w:val="center"/>
          </w:tcPr>
          <w:p>
            <w:pPr>
              <w:jc w:val="left"/>
            </w:pPr>
            <w:r>
              <w:rPr>
                <w:sz w:val="17"/>
              </w:rPr>
              <w:t>Computers Accessories</w:t>
            </w:r>
          </w:p>
        </w:tc>
        <w:tc>
          <w:tcPr>
            <w:tcW w:type="dxa" w:w="1584"/>
            <w:vAlign w:val="center"/>
          </w:tcPr>
          <w:p>
            <w:pPr>
              <w:jc w:val="center"/>
            </w:pPr>
            <w:r>
              <w:rPr>
                <w:sz w:val="17"/>
              </w:rPr>
              <w:t>6,689</w:t>
            </w:r>
          </w:p>
        </w:tc>
        <w:tc>
          <w:tcPr>
            <w:tcW w:type="dxa" w:w="1728"/>
            <w:vAlign w:val="center"/>
          </w:tcPr>
          <w:p>
            <w:pPr>
              <w:jc w:val="center"/>
            </w:pPr>
            <w:r>
              <w:rPr>
                <w:sz w:val="17"/>
              </w:rPr>
              <w:t>7,827</w:t>
            </w:r>
          </w:p>
        </w:tc>
        <w:tc>
          <w:tcPr>
            <w:tcW w:type="dxa" w:w="2160"/>
            <w:vAlign w:val="center"/>
          </w:tcPr>
          <w:p>
            <w:pPr>
              <w:jc w:val="center"/>
            </w:pPr>
            <w:r>
              <w:rPr>
                <w:sz w:val="17"/>
              </w:rPr>
              <w:t>911,954.32</w:t>
            </w:r>
          </w:p>
        </w:tc>
      </w:tr>
    </w:tbl>
    <w:p>
      <w:r>
        <w:t>Health Beauty was the top revenue category, while Bed Bath Table had the highest order and item volume. Watches Gifts generated high revenue despite lower order volume because of a higher average item price.</w:t>
      </w:r>
    </w:p>
    <w:p>
      <w:pPr>
        <w:pStyle w:val="Heading2"/>
      </w:pPr>
      <w:r>
        <w:rPr>
          <w:color w:val="1F4E79"/>
        </w:rPr>
        <w:t>6.3 Customer Geography</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2160"/>
            <w:shd w:fill="1F4E79"/>
            <w:vAlign w:val="center"/>
          </w:tcPr>
          <w:p>
            <w:pPr>
              <w:jc w:val="center"/>
            </w:pPr>
            <w:r>
              <w:rPr>
                <w:b/>
                <w:color w:val="FFFFFF"/>
                <w:sz w:val="17"/>
              </w:rPr>
              <w:t>Customer State</w:t>
            </w:r>
          </w:p>
        </w:tc>
        <w:tc>
          <w:tcPr>
            <w:tcW w:type="dxa" w:w="1728"/>
            <w:shd w:fill="1F4E79"/>
            <w:vAlign w:val="center"/>
          </w:tcPr>
          <w:p>
            <w:pPr>
              <w:jc w:val="center"/>
            </w:pPr>
            <w:r>
              <w:rPr>
                <w:b/>
                <w:color w:val="FFFFFF"/>
                <w:sz w:val="17"/>
              </w:rPr>
              <w:t>Orders</w:t>
            </w:r>
          </w:p>
        </w:tc>
        <w:tc>
          <w:tcPr>
            <w:tcW w:type="dxa" w:w="1872"/>
            <w:shd w:fill="1F4E79"/>
            <w:vAlign w:val="center"/>
          </w:tcPr>
          <w:p>
            <w:pPr>
              <w:jc w:val="center"/>
            </w:pPr>
            <w:r>
              <w:rPr>
                <w:b/>
                <w:color w:val="FFFFFF"/>
                <w:sz w:val="17"/>
              </w:rPr>
              <w:t>Customers</w:t>
            </w:r>
          </w:p>
        </w:tc>
        <w:tc>
          <w:tcPr>
            <w:tcW w:type="dxa" w:w="2592"/>
            <w:shd w:fill="1F4E79"/>
            <w:vAlign w:val="center"/>
          </w:tcPr>
          <w:p>
            <w:pPr>
              <w:jc w:val="center"/>
            </w:pPr>
            <w:r>
              <w:rPr>
                <w:b/>
                <w:color w:val="FFFFFF"/>
                <w:sz w:val="17"/>
              </w:rPr>
              <w:t>Revenue</w:t>
            </w:r>
          </w:p>
        </w:tc>
      </w:tr>
      <w:tr>
        <w:tc>
          <w:tcPr>
            <w:tcW w:type="dxa" w:w="2160"/>
            <w:vAlign w:val="center"/>
          </w:tcPr>
          <w:p>
            <w:pPr>
              <w:jc w:val="left"/>
            </w:pPr>
            <w:r>
              <w:rPr>
                <w:sz w:val="17"/>
              </w:rPr>
              <w:t>SP</w:t>
            </w:r>
          </w:p>
        </w:tc>
        <w:tc>
          <w:tcPr>
            <w:tcW w:type="dxa" w:w="1728"/>
            <w:vAlign w:val="center"/>
          </w:tcPr>
          <w:p>
            <w:pPr>
              <w:jc w:val="center"/>
            </w:pPr>
            <w:r>
              <w:rPr>
                <w:sz w:val="17"/>
              </w:rPr>
              <w:t>41,746</w:t>
            </w:r>
          </w:p>
        </w:tc>
        <w:tc>
          <w:tcPr>
            <w:tcW w:type="dxa" w:w="1872"/>
            <w:vAlign w:val="center"/>
          </w:tcPr>
          <w:p>
            <w:pPr>
              <w:jc w:val="center"/>
            </w:pPr>
            <w:r>
              <w:rPr>
                <w:sz w:val="17"/>
              </w:rPr>
              <w:t>40,302</w:t>
            </w:r>
          </w:p>
        </w:tc>
        <w:tc>
          <w:tcPr>
            <w:tcW w:type="dxa" w:w="2592"/>
            <w:vAlign w:val="center"/>
          </w:tcPr>
          <w:p>
            <w:pPr>
              <w:jc w:val="center"/>
            </w:pPr>
            <w:r>
              <w:rPr>
                <w:sz w:val="17"/>
              </w:rPr>
              <w:t>5,202,955.05</w:t>
            </w:r>
          </w:p>
        </w:tc>
      </w:tr>
      <w:tr>
        <w:tc>
          <w:tcPr>
            <w:tcW w:type="dxa" w:w="2160"/>
            <w:vAlign w:val="center"/>
          </w:tcPr>
          <w:p>
            <w:pPr>
              <w:jc w:val="left"/>
            </w:pPr>
            <w:r>
              <w:rPr>
                <w:sz w:val="17"/>
              </w:rPr>
              <w:t>RJ</w:t>
            </w:r>
          </w:p>
        </w:tc>
        <w:tc>
          <w:tcPr>
            <w:tcW w:type="dxa" w:w="1728"/>
            <w:vAlign w:val="center"/>
          </w:tcPr>
          <w:p>
            <w:pPr>
              <w:jc w:val="center"/>
            </w:pPr>
            <w:r>
              <w:rPr>
                <w:sz w:val="17"/>
              </w:rPr>
              <w:t>12,852</w:t>
            </w:r>
          </w:p>
        </w:tc>
        <w:tc>
          <w:tcPr>
            <w:tcW w:type="dxa" w:w="1872"/>
            <w:vAlign w:val="center"/>
          </w:tcPr>
          <w:p>
            <w:pPr>
              <w:jc w:val="center"/>
            </w:pPr>
            <w:r>
              <w:rPr>
                <w:sz w:val="17"/>
              </w:rPr>
              <w:t>12,384</w:t>
            </w:r>
          </w:p>
        </w:tc>
        <w:tc>
          <w:tcPr>
            <w:tcW w:type="dxa" w:w="2592"/>
            <w:vAlign w:val="center"/>
          </w:tcPr>
          <w:p>
            <w:pPr>
              <w:jc w:val="center"/>
            </w:pPr>
            <w:r>
              <w:rPr>
                <w:sz w:val="17"/>
              </w:rPr>
              <w:t>1,824,092.67</w:t>
            </w:r>
          </w:p>
        </w:tc>
      </w:tr>
      <w:tr>
        <w:tc>
          <w:tcPr>
            <w:tcW w:type="dxa" w:w="2160"/>
            <w:vAlign w:val="center"/>
          </w:tcPr>
          <w:p>
            <w:pPr>
              <w:jc w:val="left"/>
            </w:pPr>
            <w:r>
              <w:rPr>
                <w:sz w:val="17"/>
              </w:rPr>
              <w:t>MG</w:t>
            </w:r>
          </w:p>
        </w:tc>
        <w:tc>
          <w:tcPr>
            <w:tcW w:type="dxa" w:w="1728"/>
            <w:vAlign w:val="center"/>
          </w:tcPr>
          <w:p>
            <w:pPr>
              <w:jc w:val="center"/>
            </w:pPr>
            <w:r>
              <w:rPr>
                <w:sz w:val="17"/>
              </w:rPr>
              <w:t>11,635</w:t>
            </w:r>
          </w:p>
        </w:tc>
        <w:tc>
          <w:tcPr>
            <w:tcW w:type="dxa" w:w="1872"/>
            <w:vAlign w:val="center"/>
          </w:tcPr>
          <w:p>
            <w:pPr>
              <w:jc w:val="center"/>
            </w:pPr>
            <w:r>
              <w:rPr>
                <w:sz w:val="17"/>
              </w:rPr>
              <w:t>11,259</w:t>
            </w:r>
          </w:p>
        </w:tc>
        <w:tc>
          <w:tcPr>
            <w:tcW w:type="dxa" w:w="2592"/>
            <w:vAlign w:val="center"/>
          </w:tcPr>
          <w:p>
            <w:pPr>
              <w:jc w:val="center"/>
            </w:pPr>
            <w:r>
              <w:rPr>
                <w:sz w:val="17"/>
              </w:rPr>
              <w:t>1,585,308.03</w:t>
            </w:r>
          </w:p>
        </w:tc>
      </w:tr>
      <w:tr>
        <w:tc>
          <w:tcPr>
            <w:tcW w:type="dxa" w:w="2160"/>
            <w:vAlign w:val="center"/>
          </w:tcPr>
          <w:p>
            <w:pPr>
              <w:jc w:val="left"/>
            </w:pPr>
            <w:r>
              <w:rPr>
                <w:sz w:val="17"/>
              </w:rPr>
              <w:t>RS</w:t>
            </w:r>
          </w:p>
        </w:tc>
        <w:tc>
          <w:tcPr>
            <w:tcW w:type="dxa" w:w="1728"/>
            <w:vAlign w:val="center"/>
          </w:tcPr>
          <w:p>
            <w:pPr>
              <w:jc w:val="center"/>
            </w:pPr>
            <w:r>
              <w:rPr>
                <w:sz w:val="17"/>
              </w:rPr>
              <w:t>5,466</w:t>
            </w:r>
          </w:p>
        </w:tc>
        <w:tc>
          <w:tcPr>
            <w:tcW w:type="dxa" w:w="1872"/>
            <w:vAlign w:val="center"/>
          </w:tcPr>
          <w:p>
            <w:pPr>
              <w:jc w:val="center"/>
            </w:pPr>
            <w:r>
              <w:rPr>
                <w:sz w:val="17"/>
              </w:rPr>
              <w:t>5,277</w:t>
            </w:r>
          </w:p>
        </w:tc>
        <w:tc>
          <w:tcPr>
            <w:tcW w:type="dxa" w:w="2592"/>
            <w:vAlign w:val="center"/>
          </w:tcPr>
          <w:p>
            <w:pPr>
              <w:jc w:val="center"/>
            </w:pPr>
            <w:r>
              <w:rPr>
                <w:sz w:val="17"/>
              </w:rPr>
              <w:t>750,304.02</w:t>
            </w:r>
          </w:p>
        </w:tc>
      </w:tr>
      <w:tr>
        <w:tc>
          <w:tcPr>
            <w:tcW w:type="dxa" w:w="2160"/>
            <w:vAlign w:val="center"/>
          </w:tcPr>
          <w:p>
            <w:pPr>
              <w:jc w:val="left"/>
            </w:pPr>
            <w:r>
              <w:rPr>
                <w:sz w:val="17"/>
              </w:rPr>
              <w:t>PR</w:t>
            </w:r>
          </w:p>
        </w:tc>
        <w:tc>
          <w:tcPr>
            <w:tcW w:type="dxa" w:w="1728"/>
            <w:vAlign w:val="center"/>
          </w:tcPr>
          <w:p>
            <w:pPr>
              <w:jc w:val="center"/>
            </w:pPr>
            <w:r>
              <w:rPr>
                <w:sz w:val="17"/>
              </w:rPr>
              <w:t>5,045</w:t>
            </w:r>
          </w:p>
        </w:tc>
        <w:tc>
          <w:tcPr>
            <w:tcW w:type="dxa" w:w="1872"/>
            <w:vAlign w:val="center"/>
          </w:tcPr>
          <w:p>
            <w:pPr>
              <w:jc w:val="center"/>
            </w:pPr>
            <w:r>
              <w:rPr>
                <w:sz w:val="17"/>
              </w:rPr>
              <w:t>4,882</w:t>
            </w:r>
          </w:p>
        </w:tc>
        <w:tc>
          <w:tcPr>
            <w:tcW w:type="dxa" w:w="2592"/>
            <w:vAlign w:val="center"/>
          </w:tcPr>
          <w:p>
            <w:pPr>
              <w:jc w:val="center"/>
            </w:pPr>
            <w:r>
              <w:rPr>
                <w:sz w:val="17"/>
              </w:rPr>
              <w:t>683,083.76</w:t>
            </w:r>
          </w:p>
        </w:tc>
      </w:tr>
    </w:tbl>
    <w:p>
      <w:r>
        <w:t>SP was the leading customer state by revenue, orders, and customers. This indicates a high concentration of marketplace activity in Sao Paulo.</w:t>
      </w:r>
    </w:p>
    <w:p>
      <w:pPr>
        <w:pStyle w:val="Heading2"/>
      </w:pPr>
      <w:r>
        <w:rPr>
          <w:color w:val="1F4E79"/>
        </w:rPr>
        <w:t>6.4 Payment Contribution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2592"/>
            <w:shd w:fill="1F4E79"/>
            <w:vAlign w:val="center"/>
          </w:tcPr>
          <w:p>
            <w:pPr>
              <w:jc w:val="center"/>
            </w:pPr>
            <w:r>
              <w:rPr>
                <w:b/>
                <w:color w:val="FFFFFF"/>
                <w:sz w:val="17"/>
              </w:rPr>
              <w:t>Payment Type</w:t>
            </w:r>
          </w:p>
        </w:tc>
        <w:tc>
          <w:tcPr>
            <w:tcW w:type="dxa" w:w="1728"/>
            <w:shd w:fill="1F4E79"/>
            <w:vAlign w:val="center"/>
          </w:tcPr>
          <w:p>
            <w:pPr>
              <w:jc w:val="center"/>
            </w:pPr>
            <w:r>
              <w:rPr>
                <w:b/>
                <w:color w:val="FFFFFF"/>
                <w:sz w:val="17"/>
              </w:rPr>
              <w:t>Orders</w:t>
            </w:r>
          </w:p>
        </w:tc>
        <w:tc>
          <w:tcPr>
            <w:tcW w:type="dxa" w:w="2592"/>
            <w:shd w:fill="1F4E79"/>
            <w:vAlign w:val="center"/>
          </w:tcPr>
          <w:p>
            <w:pPr>
              <w:jc w:val="center"/>
            </w:pPr>
            <w:r>
              <w:rPr>
                <w:b/>
                <w:color w:val="FFFFFF"/>
                <w:sz w:val="17"/>
              </w:rPr>
              <w:t>Payment Value</w:t>
            </w:r>
          </w:p>
        </w:tc>
        <w:tc>
          <w:tcPr>
            <w:tcW w:type="dxa" w:w="1728"/>
            <w:shd w:fill="1F4E79"/>
            <w:vAlign w:val="center"/>
          </w:tcPr>
          <w:p>
            <w:pPr>
              <w:jc w:val="center"/>
            </w:pPr>
            <w:r>
              <w:rPr>
                <w:b/>
                <w:color w:val="FFFFFF"/>
                <w:sz w:val="17"/>
              </w:rPr>
              <w:t>Contribution</w:t>
            </w:r>
          </w:p>
        </w:tc>
      </w:tr>
      <w:tr>
        <w:tc>
          <w:tcPr>
            <w:tcW w:type="dxa" w:w="2592"/>
            <w:vAlign w:val="center"/>
          </w:tcPr>
          <w:p>
            <w:pPr>
              <w:jc w:val="left"/>
            </w:pPr>
            <w:r>
              <w:rPr>
                <w:sz w:val="17"/>
              </w:rPr>
              <w:t>Credit Card</w:t>
            </w:r>
          </w:p>
        </w:tc>
        <w:tc>
          <w:tcPr>
            <w:tcW w:type="dxa" w:w="1728"/>
            <w:vAlign w:val="center"/>
          </w:tcPr>
          <w:p>
            <w:pPr>
              <w:jc w:val="center"/>
            </w:pPr>
            <w:r>
              <w:rPr>
                <w:sz w:val="17"/>
              </w:rPr>
              <w:t>76,505</w:t>
            </w:r>
          </w:p>
        </w:tc>
        <w:tc>
          <w:tcPr>
            <w:tcW w:type="dxa" w:w="2592"/>
            <w:vAlign w:val="center"/>
          </w:tcPr>
          <w:p>
            <w:pPr>
              <w:jc w:val="center"/>
            </w:pPr>
            <w:r>
              <w:rPr>
                <w:sz w:val="17"/>
              </w:rPr>
              <w:t>12,542,084.19</w:t>
            </w:r>
          </w:p>
        </w:tc>
        <w:tc>
          <w:tcPr>
            <w:tcW w:type="dxa" w:w="1728"/>
            <w:vAlign w:val="center"/>
          </w:tcPr>
          <w:p>
            <w:pPr>
              <w:jc w:val="center"/>
            </w:pPr>
            <w:r>
              <w:rPr>
                <w:sz w:val="17"/>
              </w:rPr>
              <w:t>78.34%</w:t>
            </w:r>
          </w:p>
        </w:tc>
      </w:tr>
      <w:tr>
        <w:tc>
          <w:tcPr>
            <w:tcW w:type="dxa" w:w="2592"/>
            <w:vAlign w:val="center"/>
          </w:tcPr>
          <w:p>
            <w:pPr>
              <w:jc w:val="left"/>
            </w:pPr>
            <w:r>
              <w:rPr>
                <w:sz w:val="17"/>
              </w:rPr>
              <w:t>Boleto</w:t>
            </w:r>
          </w:p>
        </w:tc>
        <w:tc>
          <w:tcPr>
            <w:tcW w:type="dxa" w:w="1728"/>
            <w:vAlign w:val="center"/>
          </w:tcPr>
          <w:p>
            <w:pPr>
              <w:jc w:val="center"/>
            </w:pPr>
            <w:r>
              <w:rPr>
                <w:sz w:val="17"/>
              </w:rPr>
              <w:t>19,784</w:t>
            </w:r>
          </w:p>
        </w:tc>
        <w:tc>
          <w:tcPr>
            <w:tcW w:type="dxa" w:w="2592"/>
            <w:vAlign w:val="center"/>
          </w:tcPr>
          <w:p>
            <w:pPr>
              <w:jc w:val="center"/>
            </w:pPr>
            <w:r>
              <w:rPr>
                <w:sz w:val="17"/>
              </w:rPr>
              <w:t>2,869,361.27</w:t>
            </w:r>
          </w:p>
        </w:tc>
        <w:tc>
          <w:tcPr>
            <w:tcW w:type="dxa" w:w="1728"/>
            <w:vAlign w:val="center"/>
          </w:tcPr>
          <w:p>
            <w:pPr>
              <w:jc w:val="center"/>
            </w:pPr>
            <w:r>
              <w:rPr>
                <w:sz w:val="17"/>
              </w:rPr>
              <w:t>17.92%</w:t>
            </w:r>
          </w:p>
        </w:tc>
      </w:tr>
      <w:tr>
        <w:tc>
          <w:tcPr>
            <w:tcW w:type="dxa" w:w="2592"/>
            <w:vAlign w:val="center"/>
          </w:tcPr>
          <w:p>
            <w:pPr>
              <w:jc w:val="left"/>
            </w:pPr>
            <w:r>
              <w:rPr>
                <w:sz w:val="17"/>
              </w:rPr>
              <w:t>Voucher</w:t>
            </w:r>
          </w:p>
        </w:tc>
        <w:tc>
          <w:tcPr>
            <w:tcW w:type="dxa" w:w="1728"/>
            <w:vAlign w:val="center"/>
          </w:tcPr>
          <w:p>
            <w:pPr>
              <w:jc w:val="center"/>
            </w:pPr>
            <w:r>
              <w:rPr>
                <w:sz w:val="17"/>
              </w:rPr>
              <w:t>3,866</w:t>
            </w:r>
          </w:p>
        </w:tc>
        <w:tc>
          <w:tcPr>
            <w:tcW w:type="dxa" w:w="2592"/>
            <w:vAlign w:val="center"/>
          </w:tcPr>
          <w:p>
            <w:pPr>
              <w:jc w:val="center"/>
            </w:pPr>
            <w:r>
              <w:rPr>
                <w:sz w:val="17"/>
              </w:rPr>
              <w:t>379,436.87</w:t>
            </w:r>
          </w:p>
        </w:tc>
        <w:tc>
          <w:tcPr>
            <w:tcW w:type="dxa" w:w="1728"/>
            <w:vAlign w:val="center"/>
          </w:tcPr>
          <w:p>
            <w:pPr>
              <w:jc w:val="center"/>
            </w:pPr>
            <w:r>
              <w:rPr>
                <w:sz w:val="17"/>
              </w:rPr>
              <w:t>2.37%</w:t>
            </w:r>
          </w:p>
        </w:tc>
      </w:tr>
      <w:tr>
        <w:tc>
          <w:tcPr>
            <w:tcW w:type="dxa" w:w="2592"/>
            <w:vAlign w:val="center"/>
          </w:tcPr>
          <w:p>
            <w:pPr>
              <w:jc w:val="left"/>
            </w:pPr>
            <w:r>
              <w:rPr>
                <w:sz w:val="17"/>
              </w:rPr>
              <w:t>Debit Card</w:t>
            </w:r>
          </w:p>
        </w:tc>
        <w:tc>
          <w:tcPr>
            <w:tcW w:type="dxa" w:w="1728"/>
            <w:vAlign w:val="center"/>
          </w:tcPr>
          <w:p>
            <w:pPr>
              <w:jc w:val="center"/>
            </w:pPr>
            <w:r>
              <w:rPr>
                <w:sz w:val="17"/>
              </w:rPr>
              <w:t>1,528</w:t>
            </w:r>
          </w:p>
        </w:tc>
        <w:tc>
          <w:tcPr>
            <w:tcW w:type="dxa" w:w="2592"/>
            <w:vAlign w:val="center"/>
          </w:tcPr>
          <w:p>
            <w:pPr>
              <w:jc w:val="center"/>
            </w:pPr>
            <w:r>
              <w:rPr>
                <w:sz w:val="17"/>
              </w:rPr>
              <w:t>217,989.79</w:t>
            </w:r>
          </w:p>
        </w:tc>
        <w:tc>
          <w:tcPr>
            <w:tcW w:type="dxa" w:w="1728"/>
            <w:vAlign w:val="center"/>
          </w:tcPr>
          <w:p>
            <w:pPr>
              <w:jc w:val="center"/>
            </w:pPr>
            <w:r>
              <w:rPr>
                <w:sz w:val="17"/>
              </w:rPr>
              <w:t>1.36%</w:t>
            </w:r>
          </w:p>
        </w:tc>
      </w:tr>
    </w:tbl>
    <w:p>
      <w:r>
        <w:t>Credit card was the dominant payment method, contributing more than three-fourths of total payment value.</w:t>
      </w:r>
    </w:p>
    <w:p>
      <w:pPr>
        <w:pStyle w:val="Heading2"/>
      </w:pPr>
      <w:r>
        <w:rPr>
          <w:color w:val="1F4E79"/>
        </w:rPr>
        <w:t>6.5 Delivery and Customer Satisfaction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3024"/>
            <w:shd w:fill="1F4E79"/>
            <w:vAlign w:val="center"/>
          </w:tcPr>
          <w:p>
            <w:pPr>
              <w:jc w:val="center"/>
            </w:pPr>
            <w:r>
              <w:rPr>
                <w:b/>
                <w:color w:val="FFFFFF"/>
                <w:sz w:val="17"/>
              </w:rPr>
              <w:t>Delivery Status</w:t>
            </w:r>
          </w:p>
        </w:tc>
        <w:tc>
          <w:tcPr>
            <w:tcW w:type="dxa" w:w="1728"/>
            <w:shd w:fill="1F4E79"/>
            <w:vAlign w:val="center"/>
          </w:tcPr>
          <w:p>
            <w:pPr>
              <w:jc w:val="center"/>
            </w:pPr>
            <w:r>
              <w:rPr>
                <w:b/>
                <w:color w:val="FFFFFF"/>
                <w:sz w:val="17"/>
              </w:rPr>
              <w:t>Orders</w:t>
            </w:r>
          </w:p>
        </w:tc>
        <w:tc>
          <w:tcPr>
            <w:tcW w:type="dxa" w:w="1728"/>
            <w:shd w:fill="1F4E79"/>
            <w:vAlign w:val="center"/>
          </w:tcPr>
          <w:p>
            <w:pPr>
              <w:jc w:val="center"/>
            </w:pPr>
            <w:r>
              <w:rPr>
                <w:b/>
                <w:color w:val="FFFFFF"/>
                <w:sz w:val="17"/>
              </w:rPr>
              <w:t>Reviews</w:t>
            </w:r>
          </w:p>
        </w:tc>
        <w:tc>
          <w:tcPr>
            <w:tcW w:type="dxa" w:w="2160"/>
            <w:shd w:fill="1F4E79"/>
            <w:vAlign w:val="center"/>
          </w:tcPr>
          <w:p>
            <w:pPr>
              <w:jc w:val="center"/>
            </w:pPr>
            <w:r>
              <w:rPr>
                <w:b/>
                <w:color w:val="FFFFFF"/>
                <w:sz w:val="17"/>
              </w:rPr>
              <w:t>Avg Review Score</w:t>
            </w:r>
          </w:p>
        </w:tc>
      </w:tr>
      <w:tr>
        <w:tc>
          <w:tcPr>
            <w:tcW w:type="dxa" w:w="3024"/>
            <w:vAlign w:val="center"/>
          </w:tcPr>
          <w:p>
            <w:pPr>
              <w:jc w:val="left"/>
            </w:pPr>
            <w:r>
              <w:rPr>
                <w:sz w:val="17"/>
              </w:rPr>
              <w:t>On Time / Early</w:t>
            </w:r>
          </w:p>
        </w:tc>
        <w:tc>
          <w:tcPr>
            <w:tcW w:type="dxa" w:w="1728"/>
            <w:vAlign w:val="center"/>
          </w:tcPr>
          <w:p>
            <w:pPr>
              <w:jc w:val="center"/>
            </w:pPr>
            <w:r>
              <w:rPr>
                <w:sz w:val="17"/>
              </w:rPr>
              <w:t>89,941</w:t>
            </w:r>
          </w:p>
        </w:tc>
        <w:tc>
          <w:tcPr>
            <w:tcW w:type="dxa" w:w="1728"/>
            <w:vAlign w:val="center"/>
          </w:tcPr>
          <w:p>
            <w:pPr>
              <w:jc w:val="center"/>
            </w:pPr>
            <w:r>
              <w:rPr>
                <w:sz w:val="17"/>
              </w:rPr>
              <w:t>89,308</w:t>
            </w:r>
          </w:p>
        </w:tc>
        <w:tc>
          <w:tcPr>
            <w:tcW w:type="dxa" w:w="2160"/>
            <w:vAlign w:val="center"/>
          </w:tcPr>
          <w:p>
            <w:pPr>
              <w:jc w:val="center"/>
            </w:pPr>
            <w:r>
              <w:rPr>
                <w:sz w:val="17"/>
              </w:rPr>
              <w:t>4.29</w:t>
            </w:r>
          </w:p>
        </w:tc>
      </w:tr>
      <w:tr>
        <w:tc>
          <w:tcPr>
            <w:tcW w:type="dxa" w:w="3024"/>
            <w:vAlign w:val="center"/>
          </w:tcPr>
          <w:p>
            <w:pPr>
              <w:jc w:val="left"/>
            </w:pPr>
            <w:r>
              <w:rPr>
                <w:sz w:val="17"/>
              </w:rPr>
              <w:t>Delayed</w:t>
            </w:r>
          </w:p>
        </w:tc>
        <w:tc>
          <w:tcPr>
            <w:tcW w:type="dxa" w:w="1728"/>
            <w:vAlign w:val="center"/>
          </w:tcPr>
          <w:p>
            <w:pPr>
              <w:jc w:val="center"/>
            </w:pPr>
            <w:r>
              <w:rPr>
                <w:sz w:val="17"/>
              </w:rPr>
              <w:t>6,535</w:t>
            </w:r>
          </w:p>
        </w:tc>
        <w:tc>
          <w:tcPr>
            <w:tcW w:type="dxa" w:w="1728"/>
            <w:vAlign w:val="center"/>
          </w:tcPr>
          <w:p>
            <w:pPr>
              <w:jc w:val="center"/>
            </w:pPr>
            <w:r>
              <w:rPr>
                <w:sz w:val="17"/>
              </w:rPr>
              <w:t>6,390</w:t>
            </w:r>
          </w:p>
        </w:tc>
        <w:tc>
          <w:tcPr>
            <w:tcW w:type="dxa" w:w="2160"/>
            <w:vAlign w:val="center"/>
          </w:tcPr>
          <w:p>
            <w:pPr>
              <w:jc w:val="center"/>
            </w:pPr>
            <w:r>
              <w:rPr>
                <w:sz w:val="17"/>
              </w:rPr>
              <w:t>2.27</w:t>
            </w:r>
          </w:p>
        </w:tc>
      </w:tr>
      <w:tr>
        <w:tc>
          <w:tcPr>
            <w:tcW w:type="dxa" w:w="3024"/>
            <w:vAlign w:val="center"/>
          </w:tcPr>
          <w:p>
            <w:pPr>
              <w:jc w:val="left"/>
            </w:pPr>
            <w:r>
              <w:rPr>
                <w:sz w:val="17"/>
              </w:rPr>
              <w:t>Not Delivered</w:t>
            </w:r>
          </w:p>
        </w:tc>
        <w:tc>
          <w:tcPr>
            <w:tcW w:type="dxa" w:w="1728"/>
            <w:vAlign w:val="center"/>
          </w:tcPr>
          <w:p>
            <w:pPr>
              <w:jc w:val="center"/>
            </w:pPr>
            <w:r>
              <w:rPr>
                <w:sz w:val="17"/>
              </w:rPr>
              <w:t>2,965</w:t>
            </w:r>
          </w:p>
        </w:tc>
        <w:tc>
          <w:tcPr>
            <w:tcW w:type="dxa" w:w="1728"/>
            <w:vAlign w:val="center"/>
          </w:tcPr>
          <w:p>
            <w:pPr>
              <w:jc w:val="center"/>
            </w:pPr>
            <w:r>
              <w:rPr>
                <w:sz w:val="17"/>
              </w:rPr>
              <w:t>2,848</w:t>
            </w:r>
          </w:p>
        </w:tc>
        <w:tc>
          <w:tcPr>
            <w:tcW w:type="dxa" w:w="2160"/>
            <w:vAlign w:val="center"/>
          </w:tcPr>
          <w:p>
            <w:pPr>
              <w:jc w:val="center"/>
            </w:pPr>
            <w:r>
              <w:rPr>
                <w:sz w:val="17"/>
              </w:rPr>
              <w:t>1.76</w:t>
            </w:r>
          </w:p>
        </w:tc>
      </w:tr>
    </w:tbl>
    <w:p>
      <w:r>
        <w:t>The analysis shows a strong relationship between delivery performance and customer satisfaction. On-time or early orders received much higher review scores than delayed or not delivered orders.</w:t>
      </w:r>
    </w:p>
    <w:p>
      <w:pPr>
        <w:pStyle w:val="Heading2"/>
      </w:pPr>
      <w:r>
        <w:rPr>
          <w:color w:val="1F4E79"/>
        </w:rPr>
        <w:t>6.6 Delay and Delivery Risk by State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1584"/>
            <w:shd w:fill="1F4E79"/>
            <w:vAlign w:val="center"/>
          </w:tcPr>
          <w:p>
            <w:pPr>
              <w:jc w:val="center"/>
            </w:pPr>
            <w:r>
              <w:rPr>
                <w:b/>
                <w:color w:val="FFFFFF"/>
                <w:sz w:val="17"/>
              </w:rPr>
              <w:t>State</w:t>
            </w:r>
          </w:p>
        </w:tc>
        <w:tc>
          <w:tcPr>
            <w:tcW w:type="dxa" w:w="2304"/>
            <w:shd w:fill="1F4E79"/>
            <w:vAlign w:val="center"/>
          </w:tcPr>
          <w:p>
            <w:pPr>
              <w:jc w:val="center"/>
            </w:pPr>
            <w:r>
              <w:rPr>
                <w:b/>
                <w:color w:val="FFFFFF"/>
                <w:sz w:val="17"/>
              </w:rPr>
              <w:t>Delivered Orders</w:t>
            </w:r>
          </w:p>
        </w:tc>
        <w:tc>
          <w:tcPr>
            <w:tcW w:type="dxa" w:w="2304"/>
            <w:shd w:fill="1F4E79"/>
            <w:vAlign w:val="center"/>
          </w:tcPr>
          <w:p>
            <w:pPr>
              <w:jc w:val="center"/>
            </w:pPr>
            <w:r>
              <w:rPr>
                <w:b/>
                <w:color w:val="FFFFFF"/>
                <w:sz w:val="17"/>
              </w:rPr>
              <w:t>Delayed Orders</w:t>
            </w:r>
          </w:p>
        </w:tc>
        <w:tc>
          <w:tcPr>
            <w:tcW w:type="dxa" w:w="1872"/>
            <w:shd w:fill="1F4E79"/>
            <w:vAlign w:val="center"/>
          </w:tcPr>
          <w:p>
            <w:pPr>
              <w:jc w:val="center"/>
            </w:pPr>
            <w:r>
              <w:rPr>
                <w:b/>
                <w:color w:val="FFFFFF"/>
                <w:sz w:val="17"/>
              </w:rPr>
              <w:t>Delay Rate</w:t>
            </w:r>
          </w:p>
        </w:tc>
      </w:tr>
      <w:tr>
        <w:tc>
          <w:tcPr>
            <w:tcW w:type="dxa" w:w="1584"/>
            <w:vAlign w:val="center"/>
          </w:tcPr>
          <w:p>
            <w:pPr>
              <w:jc w:val="left"/>
            </w:pPr>
            <w:r>
              <w:rPr>
                <w:sz w:val="17"/>
              </w:rPr>
              <w:t>AL</w:t>
            </w:r>
          </w:p>
        </w:tc>
        <w:tc>
          <w:tcPr>
            <w:tcW w:type="dxa" w:w="2304"/>
            <w:vAlign w:val="center"/>
          </w:tcPr>
          <w:p>
            <w:pPr>
              <w:jc w:val="center"/>
            </w:pPr>
            <w:r>
              <w:rPr>
                <w:sz w:val="17"/>
              </w:rPr>
              <w:t>397</w:t>
            </w:r>
          </w:p>
        </w:tc>
        <w:tc>
          <w:tcPr>
            <w:tcW w:type="dxa" w:w="2304"/>
            <w:vAlign w:val="center"/>
          </w:tcPr>
          <w:p>
            <w:pPr>
              <w:jc w:val="center"/>
            </w:pPr>
            <w:r>
              <w:rPr>
                <w:sz w:val="17"/>
              </w:rPr>
              <w:t>85</w:t>
            </w:r>
          </w:p>
        </w:tc>
        <w:tc>
          <w:tcPr>
            <w:tcW w:type="dxa" w:w="1872"/>
            <w:vAlign w:val="center"/>
          </w:tcPr>
          <w:p>
            <w:pPr>
              <w:jc w:val="center"/>
            </w:pPr>
            <w:r>
              <w:rPr>
                <w:sz w:val="17"/>
              </w:rPr>
              <w:t>21.41%</w:t>
            </w:r>
          </w:p>
        </w:tc>
      </w:tr>
      <w:tr>
        <w:tc>
          <w:tcPr>
            <w:tcW w:type="dxa" w:w="1584"/>
            <w:vAlign w:val="center"/>
          </w:tcPr>
          <w:p>
            <w:pPr>
              <w:jc w:val="left"/>
            </w:pPr>
            <w:r>
              <w:rPr>
                <w:sz w:val="17"/>
              </w:rPr>
              <w:t>MA</w:t>
            </w:r>
          </w:p>
        </w:tc>
        <w:tc>
          <w:tcPr>
            <w:tcW w:type="dxa" w:w="2304"/>
            <w:vAlign w:val="center"/>
          </w:tcPr>
          <w:p>
            <w:pPr>
              <w:jc w:val="center"/>
            </w:pPr>
            <w:r>
              <w:rPr>
                <w:sz w:val="17"/>
              </w:rPr>
              <w:t>717</w:t>
            </w:r>
          </w:p>
        </w:tc>
        <w:tc>
          <w:tcPr>
            <w:tcW w:type="dxa" w:w="2304"/>
            <w:vAlign w:val="center"/>
          </w:tcPr>
          <w:p>
            <w:pPr>
              <w:jc w:val="center"/>
            </w:pPr>
            <w:r>
              <w:rPr>
                <w:sz w:val="17"/>
              </w:rPr>
              <w:t>125</w:t>
            </w:r>
          </w:p>
        </w:tc>
        <w:tc>
          <w:tcPr>
            <w:tcW w:type="dxa" w:w="1872"/>
            <w:vAlign w:val="center"/>
          </w:tcPr>
          <w:p>
            <w:pPr>
              <w:jc w:val="center"/>
            </w:pPr>
            <w:r>
              <w:rPr>
                <w:sz w:val="17"/>
              </w:rPr>
              <w:t>17.43%</w:t>
            </w:r>
          </w:p>
        </w:tc>
      </w:tr>
      <w:tr>
        <w:tc>
          <w:tcPr>
            <w:tcW w:type="dxa" w:w="1584"/>
            <w:vAlign w:val="center"/>
          </w:tcPr>
          <w:p>
            <w:pPr>
              <w:jc w:val="left"/>
            </w:pPr>
            <w:r>
              <w:rPr>
                <w:sz w:val="17"/>
              </w:rPr>
              <w:t>SE</w:t>
            </w:r>
          </w:p>
        </w:tc>
        <w:tc>
          <w:tcPr>
            <w:tcW w:type="dxa" w:w="2304"/>
            <w:vAlign w:val="center"/>
          </w:tcPr>
          <w:p>
            <w:pPr>
              <w:jc w:val="center"/>
            </w:pPr>
            <w:r>
              <w:rPr>
                <w:sz w:val="17"/>
              </w:rPr>
              <w:t>335</w:t>
            </w:r>
          </w:p>
        </w:tc>
        <w:tc>
          <w:tcPr>
            <w:tcW w:type="dxa" w:w="2304"/>
            <w:vAlign w:val="center"/>
          </w:tcPr>
          <w:p>
            <w:pPr>
              <w:jc w:val="center"/>
            </w:pPr>
            <w:r>
              <w:rPr>
                <w:sz w:val="17"/>
              </w:rPr>
              <w:t>51</w:t>
            </w:r>
          </w:p>
        </w:tc>
        <w:tc>
          <w:tcPr>
            <w:tcW w:type="dxa" w:w="1872"/>
            <w:vAlign w:val="center"/>
          </w:tcPr>
          <w:p>
            <w:pPr>
              <w:jc w:val="center"/>
            </w:pPr>
            <w:r>
              <w:rPr>
                <w:sz w:val="17"/>
              </w:rPr>
              <w:t>15.22%</w:t>
            </w:r>
          </w:p>
        </w:tc>
      </w:tr>
      <w:tr>
        <w:tc>
          <w:tcPr>
            <w:tcW w:type="dxa" w:w="1584"/>
            <w:vAlign w:val="center"/>
          </w:tcPr>
          <w:p>
            <w:pPr>
              <w:jc w:val="left"/>
            </w:pPr>
            <w:r>
              <w:rPr>
                <w:sz w:val="17"/>
              </w:rPr>
              <w:t>PI</w:t>
            </w:r>
          </w:p>
        </w:tc>
        <w:tc>
          <w:tcPr>
            <w:tcW w:type="dxa" w:w="2304"/>
            <w:vAlign w:val="center"/>
          </w:tcPr>
          <w:p>
            <w:pPr>
              <w:jc w:val="center"/>
            </w:pPr>
            <w:r>
              <w:rPr>
                <w:sz w:val="17"/>
              </w:rPr>
              <w:t>476</w:t>
            </w:r>
          </w:p>
        </w:tc>
        <w:tc>
          <w:tcPr>
            <w:tcW w:type="dxa" w:w="2304"/>
            <w:vAlign w:val="center"/>
          </w:tcPr>
          <w:p>
            <w:pPr>
              <w:jc w:val="center"/>
            </w:pPr>
            <w:r>
              <w:rPr>
                <w:sz w:val="17"/>
              </w:rPr>
              <w:t>66</w:t>
            </w:r>
          </w:p>
        </w:tc>
        <w:tc>
          <w:tcPr>
            <w:tcW w:type="dxa" w:w="1872"/>
            <w:vAlign w:val="center"/>
          </w:tcPr>
          <w:p>
            <w:pPr>
              <w:jc w:val="center"/>
            </w:pPr>
            <w:r>
              <w:rPr>
                <w:sz w:val="17"/>
              </w:rPr>
              <w:t>13.87%</w:t>
            </w:r>
          </w:p>
        </w:tc>
      </w:tr>
      <w:tr>
        <w:tc>
          <w:tcPr>
            <w:tcW w:type="dxa" w:w="1584"/>
            <w:vAlign w:val="center"/>
          </w:tcPr>
          <w:p>
            <w:pPr>
              <w:jc w:val="left"/>
            </w:pPr>
            <w:r>
              <w:rPr>
                <w:sz w:val="17"/>
              </w:rPr>
              <w:t>CE</w:t>
            </w:r>
          </w:p>
        </w:tc>
        <w:tc>
          <w:tcPr>
            <w:tcW w:type="dxa" w:w="2304"/>
            <w:vAlign w:val="center"/>
          </w:tcPr>
          <w:p>
            <w:pPr>
              <w:jc w:val="center"/>
            </w:pPr>
            <w:r>
              <w:rPr>
                <w:sz w:val="17"/>
              </w:rPr>
              <w:t>1,279</w:t>
            </w:r>
          </w:p>
        </w:tc>
        <w:tc>
          <w:tcPr>
            <w:tcW w:type="dxa" w:w="2304"/>
            <w:vAlign w:val="center"/>
          </w:tcPr>
          <w:p>
            <w:pPr>
              <w:jc w:val="center"/>
            </w:pPr>
            <w:r>
              <w:rPr>
                <w:sz w:val="17"/>
              </w:rPr>
              <w:t>176</w:t>
            </w:r>
          </w:p>
        </w:tc>
        <w:tc>
          <w:tcPr>
            <w:tcW w:type="dxa" w:w="1872"/>
            <w:vAlign w:val="center"/>
          </w:tcPr>
          <w:p>
            <w:pPr>
              <w:jc w:val="center"/>
            </w:pPr>
            <w:r>
              <w:rPr>
                <w:sz w:val="17"/>
              </w:rPr>
              <w:t>13.76%</w:t>
            </w:r>
          </w:p>
        </w:tc>
      </w:tr>
    </w:tbl>
    <w:p>
      <w:r>
        <w:t>AL had the highest delay rate, while SP had the highest absolute delayed order count due to its very large order volume.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592"/>
        <w:gridCol w:w="2592"/>
        <w:gridCol w:w="2592"/>
        <w:gridCol w:w="2592"/>
      </w:tblGrid>
      <w:tr>
        <w:tc>
          <w:tcPr>
            <w:tcW w:type="dxa" w:w="1584"/>
            <w:shd w:fill="1F4E79"/>
            <w:vAlign w:val="center"/>
          </w:tcPr>
          <w:p>
            <w:pPr>
              <w:jc w:val="center"/>
            </w:pPr>
            <w:r>
              <w:rPr>
                <w:b/>
                <w:color w:val="FFFFFF"/>
                <w:sz w:val="17"/>
              </w:rPr>
              <w:t>State</w:t>
            </w:r>
          </w:p>
        </w:tc>
        <w:tc>
          <w:tcPr>
            <w:tcW w:type="dxa" w:w="2160"/>
            <w:shd w:fill="1F4E79"/>
            <w:vAlign w:val="center"/>
          </w:tcPr>
          <w:p>
            <w:pPr>
              <w:jc w:val="center"/>
            </w:pPr>
            <w:r>
              <w:rPr>
                <w:b/>
                <w:color w:val="FFFFFF"/>
                <w:sz w:val="17"/>
              </w:rPr>
              <w:t>Total Orders</w:t>
            </w:r>
          </w:p>
        </w:tc>
        <w:tc>
          <w:tcPr>
            <w:tcW w:type="dxa" w:w="2304"/>
            <w:shd w:fill="1F4E79"/>
            <w:vAlign w:val="center"/>
          </w:tcPr>
          <w:p>
            <w:pPr>
              <w:jc w:val="center"/>
            </w:pPr>
            <w:r>
              <w:rPr>
                <w:b/>
                <w:color w:val="FFFFFF"/>
                <w:sz w:val="17"/>
              </w:rPr>
              <w:t>Delivered Orders</w:t>
            </w:r>
          </w:p>
        </w:tc>
        <w:tc>
          <w:tcPr>
            <w:tcW w:type="dxa" w:w="2304"/>
            <w:shd w:fill="1F4E79"/>
            <w:vAlign w:val="center"/>
          </w:tcPr>
          <w:p>
            <w:pPr>
              <w:jc w:val="center"/>
            </w:pPr>
            <w:r>
              <w:rPr>
                <w:b/>
                <w:color w:val="FFFFFF"/>
                <w:sz w:val="17"/>
              </w:rPr>
              <w:t>Avg Delivery Days</w:t>
            </w:r>
          </w:p>
        </w:tc>
      </w:tr>
      <w:tr>
        <w:tc>
          <w:tcPr>
            <w:tcW w:type="dxa" w:w="1584"/>
            <w:vAlign w:val="center"/>
          </w:tcPr>
          <w:p>
            <w:pPr>
              <w:jc w:val="left"/>
            </w:pPr>
            <w:r>
              <w:rPr>
                <w:sz w:val="17"/>
              </w:rPr>
              <w:t>RR</w:t>
            </w:r>
          </w:p>
        </w:tc>
        <w:tc>
          <w:tcPr>
            <w:tcW w:type="dxa" w:w="2160"/>
            <w:vAlign w:val="center"/>
          </w:tcPr>
          <w:p>
            <w:pPr>
              <w:jc w:val="center"/>
            </w:pPr>
            <w:r>
              <w:rPr>
                <w:sz w:val="17"/>
              </w:rPr>
              <w:t>46</w:t>
            </w:r>
          </w:p>
        </w:tc>
        <w:tc>
          <w:tcPr>
            <w:tcW w:type="dxa" w:w="2304"/>
            <w:vAlign w:val="center"/>
          </w:tcPr>
          <w:p>
            <w:pPr>
              <w:jc w:val="center"/>
            </w:pPr>
            <w:r>
              <w:rPr>
                <w:sz w:val="17"/>
              </w:rPr>
              <w:t>41</w:t>
            </w:r>
          </w:p>
        </w:tc>
        <w:tc>
          <w:tcPr>
            <w:tcW w:type="dxa" w:w="2304"/>
            <w:vAlign w:val="center"/>
          </w:tcPr>
          <w:p>
            <w:pPr>
              <w:jc w:val="center"/>
            </w:pPr>
            <w:r>
              <w:rPr>
                <w:sz w:val="17"/>
              </w:rPr>
              <w:t>28.98</w:t>
            </w:r>
          </w:p>
        </w:tc>
      </w:tr>
      <w:tr>
        <w:tc>
          <w:tcPr>
            <w:tcW w:type="dxa" w:w="1584"/>
            <w:vAlign w:val="center"/>
          </w:tcPr>
          <w:p>
            <w:pPr>
              <w:jc w:val="left"/>
            </w:pPr>
            <w:r>
              <w:rPr>
                <w:sz w:val="17"/>
              </w:rPr>
              <w:t>AP</w:t>
            </w:r>
          </w:p>
        </w:tc>
        <w:tc>
          <w:tcPr>
            <w:tcW w:type="dxa" w:w="2160"/>
            <w:vAlign w:val="center"/>
          </w:tcPr>
          <w:p>
            <w:pPr>
              <w:jc w:val="center"/>
            </w:pPr>
            <w:r>
              <w:rPr>
                <w:sz w:val="17"/>
              </w:rPr>
              <w:t>68</w:t>
            </w:r>
          </w:p>
        </w:tc>
        <w:tc>
          <w:tcPr>
            <w:tcW w:type="dxa" w:w="2304"/>
            <w:vAlign w:val="center"/>
          </w:tcPr>
          <w:p>
            <w:pPr>
              <w:jc w:val="center"/>
            </w:pPr>
            <w:r>
              <w:rPr>
                <w:sz w:val="17"/>
              </w:rPr>
              <w:t>67</w:t>
            </w:r>
          </w:p>
        </w:tc>
        <w:tc>
          <w:tcPr>
            <w:tcW w:type="dxa" w:w="2304"/>
            <w:vAlign w:val="center"/>
          </w:tcPr>
          <w:p>
            <w:pPr>
              <w:jc w:val="center"/>
            </w:pPr>
            <w:r>
              <w:rPr>
                <w:sz w:val="17"/>
              </w:rPr>
              <w:t>26.73</w:t>
            </w:r>
          </w:p>
        </w:tc>
      </w:tr>
      <w:tr>
        <w:tc>
          <w:tcPr>
            <w:tcW w:type="dxa" w:w="1584"/>
            <w:vAlign w:val="center"/>
          </w:tcPr>
          <w:p>
            <w:pPr>
              <w:jc w:val="left"/>
            </w:pPr>
            <w:r>
              <w:rPr>
                <w:sz w:val="17"/>
              </w:rPr>
              <w:t>AM</w:t>
            </w:r>
          </w:p>
        </w:tc>
        <w:tc>
          <w:tcPr>
            <w:tcW w:type="dxa" w:w="2160"/>
            <w:vAlign w:val="center"/>
          </w:tcPr>
          <w:p>
            <w:pPr>
              <w:jc w:val="center"/>
            </w:pPr>
            <w:r>
              <w:rPr>
                <w:sz w:val="17"/>
              </w:rPr>
              <w:t>148</w:t>
            </w:r>
          </w:p>
        </w:tc>
        <w:tc>
          <w:tcPr>
            <w:tcW w:type="dxa" w:w="2304"/>
            <w:vAlign w:val="center"/>
          </w:tcPr>
          <w:p>
            <w:pPr>
              <w:jc w:val="center"/>
            </w:pPr>
            <w:r>
              <w:rPr>
                <w:sz w:val="17"/>
              </w:rPr>
              <w:t>145</w:t>
            </w:r>
          </w:p>
        </w:tc>
        <w:tc>
          <w:tcPr>
            <w:tcW w:type="dxa" w:w="2304"/>
            <w:vAlign w:val="center"/>
          </w:tcPr>
          <w:p>
            <w:pPr>
              <w:jc w:val="center"/>
            </w:pPr>
            <w:r>
              <w:rPr>
                <w:sz w:val="17"/>
              </w:rPr>
              <w:t>25.99</w:t>
            </w:r>
          </w:p>
        </w:tc>
      </w:tr>
      <w:tr>
        <w:tc>
          <w:tcPr>
            <w:tcW w:type="dxa" w:w="1584"/>
            <w:vAlign w:val="center"/>
          </w:tcPr>
          <w:p>
            <w:pPr>
              <w:jc w:val="left"/>
            </w:pPr>
            <w:r>
              <w:rPr>
                <w:sz w:val="17"/>
              </w:rPr>
              <w:t>AL</w:t>
            </w:r>
          </w:p>
        </w:tc>
        <w:tc>
          <w:tcPr>
            <w:tcW w:type="dxa" w:w="2160"/>
            <w:vAlign w:val="center"/>
          </w:tcPr>
          <w:p>
            <w:pPr>
              <w:jc w:val="center"/>
            </w:pPr>
            <w:r>
              <w:rPr>
                <w:sz w:val="17"/>
              </w:rPr>
              <w:t>413</w:t>
            </w:r>
          </w:p>
        </w:tc>
        <w:tc>
          <w:tcPr>
            <w:tcW w:type="dxa" w:w="2304"/>
            <w:vAlign w:val="center"/>
          </w:tcPr>
          <w:p>
            <w:pPr>
              <w:jc w:val="center"/>
            </w:pPr>
            <w:r>
              <w:rPr>
                <w:sz w:val="17"/>
              </w:rPr>
              <w:t>397</w:t>
            </w:r>
          </w:p>
        </w:tc>
        <w:tc>
          <w:tcPr>
            <w:tcW w:type="dxa" w:w="2304"/>
            <w:vAlign w:val="center"/>
          </w:tcPr>
          <w:p>
            <w:pPr>
              <w:jc w:val="center"/>
            </w:pPr>
            <w:r>
              <w:rPr>
                <w:sz w:val="17"/>
              </w:rPr>
              <w:t>24.04</w:t>
            </w:r>
          </w:p>
        </w:tc>
      </w:tr>
      <w:tr>
        <w:tc>
          <w:tcPr>
            <w:tcW w:type="dxa" w:w="1584"/>
            <w:vAlign w:val="center"/>
          </w:tcPr>
          <w:p>
            <w:pPr>
              <w:jc w:val="left"/>
            </w:pPr>
            <w:r>
              <w:rPr>
                <w:sz w:val="17"/>
              </w:rPr>
              <w:t>PA</w:t>
            </w:r>
          </w:p>
        </w:tc>
        <w:tc>
          <w:tcPr>
            <w:tcW w:type="dxa" w:w="2160"/>
            <w:vAlign w:val="center"/>
          </w:tcPr>
          <w:p>
            <w:pPr>
              <w:jc w:val="center"/>
            </w:pPr>
            <w:r>
              <w:rPr>
                <w:sz w:val="17"/>
              </w:rPr>
              <w:t>975</w:t>
            </w:r>
          </w:p>
        </w:tc>
        <w:tc>
          <w:tcPr>
            <w:tcW w:type="dxa" w:w="2304"/>
            <w:vAlign w:val="center"/>
          </w:tcPr>
          <w:p>
            <w:pPr>
              <w:jc w:val="center"/>
            </w:pPr>
            <w:r>
              <w:rPr>
                <w:sz w:val="17"/>
              </w:rPr>
              <w:t>946</w:t>
            </w:r>
          </w:p>
        </w:tc>
        <w:tc>
          <w:tcPr>
            <w:tcW w:type="dxa" w:w="2304"/>
            <w:vAlign w:val="center"/>
          </w:tcPr>
          <w:p>
            <w:pPr>
              <w:jc w:val="center"/>
            </w:pPr>
            <w:r>
              <w:rPr>
                <w:sz w:val="17"/>
              </w:rPr>
              <w:t>23.32</w:t>
            </w:r>
          </w:p>
        </w:tc>
      </w:tr>
    </w:tbl>
    <w:p>
      <w:r>
        <w:br w:type="page"/>
      </w:r>
    </w:p>
    <w:p>
      <w:pPr>
        <w:pStyle w:val="Heading2"/>
      </w:pPr>
      <w:r>
        <w:rPr>
          <w:color w:val="1F4E79"/>
        </w:rPr>
        <w:t>6.7 Seller Performance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074"/>
        <w:gridCol w:w="2074"/>
        <w:gridCol w:w="2074"/>
        <w:gridCol w:w="2074"/>
        <w:gridCol w:w="2074"/>
      </w:tblGrid>
      <w:tr>
        <w:tc>
          <w:tcPr>
            <w:tcW w:type="dxa" w:w="2232"/>
            <w:shd w:fill="1F4E79"/>
            <w:vAlign w:val="center"/>
          </w:tcPr>
          <w:p>
            <w:pPr>
              <w:jc w:val="center"/>
            </w:pPr>
            <w:r>
              <w:rPr>
                <w:b/>
                <w:color w:val="FFFFFF"/>
                <w:sz w:val="17"/>
              </w:rPr>
              <w:t>Seller Short ID</w:t>
            </w:r>
          </w:p>
        </w:tc>
        <w:tc>
          <w:tcPr>
            <w:tcW w:type="dxa" w:w="1080"/>
            <w:shd w:fill="1F4E79"/>
            <w:vAlign w:val="center"/>
          </w:tcPr>
          <w:p>
            <w:pPr>
              <w:jc w:val="center"/>
            </w:pPr>
            <w:r>
              <w:rPr>
                <w:b/>
                <w:color w:val="FFFFFF"/>
                <w:sz w:val="17"/>
              </w:rPr>
              <w:t>State</w:t>
            </w:r>
          </w:p>
        </w:tc>
        <w:tc>
          <w:tcPr>
            <w:tcW w:type="dxa" w:w="1584"/>
            <w:shd w:fill="1F4E79"/>
            <w:vAlign w:val="center"/>
          </w:tcPr>
          <w:p>
            <w:pPr>
              <w:jc w:val="center"/>
            </w:pPr>
            <w:r>
              <w:rPr>
                <w:b/>
                <w:color w:val="FFFFFF"/>
                <w:sz w:val="17"/>
              </w:rPr>
              <w:t>Orders</w:t>
            </w:r>
          </w:p>
        </w:tc>
        <w:tc>
          <w:tcPr>
            <w:tcW w:type="dxa" w:w="1584"/>
            <w:shd w:fill="1F4E79"/>
            <w:vAlign w:val="center"/>
          </w:tcPr>
          <w:p>
            <w:pPr>
              <w:jc w:val="center"/>
            </w:pPr>
            <w:r>
              <w:rPr>
                <w:b/>
                <w:color w:val="FFFFFF"/>
                <w:sz w:val="17"/>
              </w:rPr>
              <w:t>Items Sold</w:t>
            </w:r>
          </w:p>
        </w:tc>
        <w:tc>
          <w:tcPr>
            <w:tcW w:type="dxa" w:w="2160"/>
            <w:shd w:fill="1F4E79"/>
            <w:vAlign w:val="center"/>
          </w:tcPr>
          <w:p>
            <w:pPr>
              <w:jc w:val="center"/>
            </w:pPr>
            <w:r>
              <w:rPr>
                <w:b/>
                <w:color w:val="FFFFFF"/>
                <w:sz w:val="17"/>
              </w:rPr>
              <w:t>Revenue</w:t>
            </w:r>
          </w:p>
        </w:tc>
      </w:tr>
      <w:tr>
        <w:tc>
          <w:tcPr>
            <w:tcW w:type="dxa" w:w="2232"/>
            <w:vAlign w:val="center"/>
          </w:tcPr>
          <w:p>
            <w:pPr>
              <w:jc w:val="left"/>
            </w:pPr>
            <w:r>
              <w:rPr>
                <w:sz w:val="17"/>
              </w:rPr>
              <w:t>4869f7a5</w:t>
            </w:r>
          </w:p>
        </w:tc>
        <w:tc>
          <w:tcPr>
            <w:tcW w:type="dxa" w:w="1080"/>
            <w:vAlign w:val="center"/>
          </w:tcPr>
          <w:p>
            <w:pPr>
              <w:jc w:val="center"/>
            </w:pPr>
            <w:r>
              <w:rPr>
                <w:sz w:val="17"/>
              </w:rPr>
              <w:t>SP</w:t>
            </w:r>
          </w:p>
        </w:tc>
        <w:tc>
          <w:tcPr>
            <w:tcW w:type="dxa" w:w="1584"/>
            <w:vAlign w:val="center"/>
          </w:tcPr>
          <w:p>
            <w:pPr>
              <w:jc w:val="center"/>
            </w:pPr>
            <w:r>
              <w:rPr>
                <w:sz w:val="17"/>
              </w:rPr>
              <w:t>1,132</w:t>
            </w:r>
          </w:p>
        </w:tc>
        <w:tc>
          <w:tcPr>
            <w:tcW w:type="dxa" w:w="1584"/>
            <w:vAlign w:val="center"/>
          </w:tcPr>
          <w:p>
            <w:pPr>
              <w:jc w:val="center"/>
            </w:pPr>
            <w:r>
              <w:rPr>
                <w:sz w:val="17"/>
              </w:rPr>
              <w:t>1,156</w:t>
            </w:r>
          </w:p>
        </w:tc>
        <w:tc>
          <w:tcPr>
            <w:tcW w:type="dxa" w:w="2160"/>
            <w:vAlign w:val="center"/>
          </w:tcPr>
          <w:p>
            <w:pPr>
              <w:jc w:val="center"/>
            </w:pPr>
            <w:r>
              <w:rPr>
                <w:sz w:val="17"/>
              </w:rPr>
              <w:t>229,472.63</w:t>
            </w:r>
          </w:p>
        </w:tc>
      </w:tr>
      <w:tr>
        <w:tc>
          <w:tcPr>
            <w:tcW w:type="dxa" w:w="2232"/>
            <w:vAlign w:val="center"/>
          </w:tcPr>
          <w:p>
            <w:pPr>
              <w:jc w:val="left"/>
            </w:pPr>
            <w:r>
              <w:rPr>
                <w:sz w:val="17"/>
              </w:rPr>
              <w:t>53243585</w:t>
            </w:r>
          </w:p>
        </w:tc>
        <w:tc>
          <w:tcPr>
            <w:tcW w:type="dxa" w:w="1080"/>
            <w:vAlign w:val="center"/>
          </w:tcPr>
          <w:p>
            <w:pPr>
              <w:jc w:val="center"/>
            </w:pPr>
            <w:r>
              <w:rPr>
                <w:sz w:val="17"/>
              </w:rPr>
              <w:t>BA</w:t>
            </w:r>
          </w:p>
        </w:tc>
        <w:tc>
          <w:tcPr>
            <w:tcW w:type="dxa" w:w="1584"/>
            <w:vAlign w:val="center"/>
          </w:tcPr>
          <w:p>
            <w:pPr>
              <w:jc w:val="center"/>
            </w:pPr>
            <w:r>
              <w:rPr>
                <w:sz w:val="17"/>
              </w:rPr>
              <w:t>358</w:t>
            </w:r>
          </w:p>
        </w:tc>
        <w:tc>
          <w:tcPr>
            <w:tcW w:type="dxa" w:w="1584"/>
            <w:vAlign w:val="center"/>
          </w:tcPr>
          <w:p>
            <w:pPr>
              <w:jc w:val="center"/>
            </w:pPr>
            <w:r>
              <w:rPr>
                <w:sz w:val="17"/>
              </w:rPr>
              <w:t>410</w:t>
            </w:r>
          </w:p>
        </w:tc>
        <w:tc>
          <w:tcPr>
            <w:tcW w:type="dxa" w:w="2160"/>
            <w:vAlign w:val="center"/>
          </w:tcPr>
          <w:p>
            <w:pPr>
              <w:jc w:val="center"/>
            </w:pPr>
            <w:r>
              <w:rPr>
                <w:sz w:val="17"/>
              </w:rPr>
              <w:t>222,776.05</w:t>
            </w:r>
          </w:p>
        </w:tc>
      </w:tr>
      <w:tr>
        <w:tc>
          <w:tcPr>
            <w:tcW w:type="dxa" w:w="2232"/>
            <w:vAlign w:val="center"/>
          </w:tcPr>
          <w:p>
            <w:pPr>
              <w:jc w:val="left"/>
            </w:pPr>
            <w:r>
              <w:rPr>
                <w:sz w:val="17"/>
              </w:rPr>
              <w:t>4a3ca931</w:t>
            </w:r>
          </w:p>
        </w:tc>
        <w:tc>
          <w:tcPr>
            <w:tcW w:type="dxa" w:w="1080"/>
            <w:vAlign w:val="center"/>
          </w:tcPr>
          <w:p>
            <w:pPr>
              <w:jc w:val="center"/>
            </w:pPr>
            <w:r>
              <w:rPr>
                <w:sz w:val="17"/>
              </w:rPr>
              <w:t>SP</w:t>
            </w:r>
          </w:p>
        </w:tc>
        <w:tc>
          <w:tcPr>
            <w:tcW w:type="dxa" w:w="1584"/>
            <w:vAlign w:val="center"/>
          </w:tcPr>
          <w:p>
            <w:pPr>
              <w:jc w:val="center"/>
            </w:pPr>
            <w:r>
              <w:rPr>
                <w:sz w:val="17"/>
              </w:rPr>
              <w:t>1,806</w:t>
            </w:r>
          </w:p>
        </w:tc>
        <w:tc>
          <w:tcPr>
            <w:tcW w:type="dxa" w:w="1584"/>
            <w:vAlign w:val="center"/>
          </w:tcPr>
          <w:p>
            <w:pPr>
              <w:jc w:val="center"/>
            </w:pPr>
            <w:r>
              <w:rPr>
                <w:sz w:val="17"/>
              </w:rPr>
              <w:t>1,987</w:t>
            </w:r>
          </w:p>
        </w:tc>
        <w:tc>
          <w:tcPr>
            <w:tcW w:type="dxa" w:w="2160"/>
            <w:vAlign w:val="center"/>
          </w:tcPr>
          <w:p>
            <w:pPr>
              <w:jc w:val="center"/>
            </w:pPr>
            <w:r>
              <w:rPr>
                <w:sz w:val="17"/>
              </w:rPr>
              <w:t>200,472.92</w:t>
            </w:r>
          </w:p>
        </w:tc>
      </w:tr>
      <w:tr>
        <w:tc>
          <w:tcPr>
            <w:tcW w:type="dxa" w:w="2232"/>
            <w:vAlign w:val="center"/>
          </w:tcPr>
          <w:p>
            <w:pPr>
              <w:jc w:val="left"/>
            </w:pPr>
            <w:r>
              <w:rPr>
                <w:sz w:val="17"/>
              </w:rPr>
              <w:t>fa1c13f2</w:t>
            </w:r>
          </w:p>
        </w:tc>
        <w:tc>
          <w:tcPr>
            <w:tcW w:type="dxa" w:w="1080"/>
            <w:vAlign w:val="center"/>
          </w:tcPr>
          <w:p>
            <w:pPr>
              <w:jc w:val="center"/>
            </w:pPr>
            <w:r>
              <w:rPr>
                <w:sz w:val="17"/>
              </w:rPr>
              <w:t>SP</w:t>
            </w:r>
          </w:p>
        </w:tc>
        <w:tc>
          <w:tcPr>
            <w:tcW w:type="dxa" w:w="1584"/>
            <w:vAlign w:val="center"/>
          </w:tcPr>
          <w:p>
            <w:pPr>
              <w:jc w:val="center"/>
            </w:pPr>
            <w:r>
              <w:rPr>
                <w:sz w:val="17"/>
              </w:rPr>
              <w:t>585</w:t>
            </w:r>
          </w:p>
        </w:tc>
        <w:tc>
          <w:tcPr>
            <w:tcW w:type="dxa" w:w="1584"/>
            <w:vAlign w:val="center"/>
          </w:tcPr>
          <w:p>
            <w:pPr>
              <w:jc w:val="center"/>
            </w:pPr>
            <w:r>
              <w:rPr>
                <w:sz w:val="17"/>
              </w:rPr>
              <w:t>586</w:t>
            </w:r>
          </w:p>
        </w:tc>
        <w:tc>
          <w:tcPr>
            <w:tcW w:type="dxa" w:w="2160"/>
            <w:vAlign w:val="center"/>
          </w:tcPr>
          <w:p>
            <w:pPr>
              <w:jc w:val="center"/>
            </w:pPr>
            <w:r>
              <w:rPr>
                <w:sz w:val="17"/>
              </w:rPr>
              <w:t>194,042.03</w:t>
            </w:r>
          </w:p>
        </w:tc>
      </w:tr>
      <w:tr>
        <w:tc>
          <w:tcPr>
            <w:tcW w:type="dxa" w:w="2232"/>
            <w:vAlign w:val="center"/>
          </w:tcPr>
          <w:p>
            <w:pPr>
              <w:jc w:val="left"/>
            </w:pPr>
            <w:r>
              <w:rPr>
                <w:sz w:val="17"/>
              </w:rPr>
              <w:t>7c67e144</w:t>
            </w:r>
          </w:p>
        </w:tc>
        <w:tc>
          <w:tcPr>
            <w:tcW w:type="dxa" w:w="1080"/>
            <w:vAlign w:val="center"/>
          </w:tcPr>
          <w:p>
            <w:pPr>
              <w:jc w:val="center"/>
            </w:pPr>
            <w:r>
              <w:rPr>
                <w:sz w:val="17"/>
              </w:rPr>
              <w:t>SP</w:t>
            </w:r>
          </w:p>
        </w:tc>
        <w:tc>
          <w:tcPr>
            <w:tcW w:type="dxa" w:w="1584"/>
            <w:vAlign w:val="center"/>
          </w:tcPr>
          <w:p>
            <w:pPr>
              <w:jc w:val="center"/>
            </w:pPr>
            <w:r>
              <w:rPr>
                <w:sz w:val="17"/>
              </w:rPr>
              <w:t>982</w:t>
            </w:r>
          </w:p>
        </w:tc>
        <w:tc>
          <w:tcPr>
            <w:tcW w:type="dxa" w:w="1584"/>
            <w:vAlign w:val="center"/>
          </w:tcPr>
          <w:p>
            <w:pPr>
              <w:jc w:val="center"/>
            </w:pPr>
            <w:r>
              <w:rPr>
                <w:sz w:val="17"/>
              </w:rPr>
              <w:t>1,364</w:t>
            </w:r>
          </w:p>
        </w:tc>
        <w:tc>
          <w:tcPr>
            <w:tcW w:type="dxa" w:w="2160"/>
            <w:vAlign w:val="center"/>
          </w:tcPr>
          <w:p>
            <w:pPr>
              <w:jc w:val="center"/>
            </w:pPr>
            <w:r>
              <w:rPr>
                <w:sz w:val="17"/>
              </w:rPr>
              <w:t>187,923.89</w:t>
            </w:r>
          </w:p>
        </w:tc>
      </w:tr>
    </w:tbl>
    <w:p>
      <w:r>
        <w:t>Most of the top revenue sellers were located in SP, confirming the dominance of Sao Paulo as a seller hub.</w:t>
      </w:r>
    </w:p>
    <w:p>
      <w:pPr>
        <w:pStyle w:val="Heading1"/>
      </w:pPr>
      <w:r>
        <w:rPr>
          <w:color w:val="1F4E79"/>
        </w:rPr>
        <w:t>7. Business Recommendations</w:t>
      </w:r>
    </w:p>
    <w:p>
      <w:pPr>
        <w:pStyle w:val="ListNumber"/>
        <w:spacing w:after="40"/>
      </w:pPr>
      <w:r>
        <w:t>Focus logistics improvement on high-delay-rate states such as AL, MA, SE, PI, and CE.</w:t>
      </w:r>
    </w:p>
    <w:p>
      <w:pPr>
        <w:pStyle w:val="ListNumber"/>
        <w:spacing w:after="40"/>
      </w:pPr>
      <w:r>
        <w:t>Monitor high-volume states like SP and RJ because small delay improvements there can affect many customers.</w:t>
      </w:r>
    </w:p>
    <w:p>
      <w:pPr>
        <w:pStyle w:val="ListNumber"/>
        <w:spacing w:after="40"/>
      </w:pPr>
      <w:r>
        <w:t>Prioritize customer satisfaction initiatives for delayed and not delivered orders because review scores drop sharply in those groups.</w:t>
      </w:r>
    </w:p>
    <w:p>
      <w:pPr>
        <w:pStyle w:val="ListNumber"/>
        <w:spacing w:after="40"/>
      </w:pPr>
      <w:r>
        <w:t>Use Health Beauty and Watches Gifts as key revenue categories and Bed Bath Table as a volume-driving category.</w:t>
      </w:r>
    </w:p>
    <w:p>
      <w:pPr>
        <w:pStyle w:val="ListNumber"/>
        <w:spacing w:after="40"/>
      </w:pPr>
      <w:r>
        <w:t>Strengthen seller support and onboarding in states outside SP to reduce seller-side concentration risk.</w:t>
      </w:r>
    </w:p>
    <w:p>
      <w:pPr>
        <w:pStyle w:val="ListNumber"/>
        <w:spacing w:after="40"/>
      </w:pPr>
      <w:r>
        <w:t>Track payment behavior closely because credit cards dominate payment value, while boleto remains a meaningful secondary method.</w:t>
      </w:r>
    </w:p>
    <w:p>
      <w:pPr>
        <w:pStyle w:val="Heading1"/>
      </w:pPr>
      <w:r>
        <w:rPr>
          <w:color w:val="1F4E79"/>
        </w:rPr>
        <w:t>8. Conclusion</w:t>
      </w:r>
    </w:p>
    <w:p>
      <w:r>
        <w:t>The Olist E-Commerce Marketplace Analysis project successfully combines Power BI dashboard development with SQL validation. The analysis shows that revenue is concentrated in key states and categories, delivery performance has a major impact on customer reviews, and SP dominates both customer demand and seller supply. The project demonstrates practical skills in data cleaning, data modelling, DAX measure creation, SQL analysis, dashboard design, and business insight generation.</w:t>
      </w:r>
    </w:p>
    <w:p>
      <w:pPr>
        <w:pStyle w:val="Heading1"/>
      </w:pPr>
      <w:r>
        <w:rPr>
          <w:color w:val="1F4E79"/>
        </w:rPr>
        <w:t>Appendix: Deliverables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84"/>
        <w:gridCol w:w="5184"/>
      </w:tblGrid>
      <w:tr>
        <w:tc>
          <w:tcPr>
            <w:tcW w:type="dxa" w:w="4752"/>
            <w:shd w:fill="1F4E79"/>
            <w:vAlign w:val="center"/>
          </w:tcPr>
          <w:p>
            <w:pPr>
              <w:jc w:val="center"/>
            </w:pPr>
            <w:r>
              <w:rPr>
                <w:b/>
                <w:color w:val="FFFFFF"/>
                <w:sz w:val="17"/>
              </w:rPr>
              <w:t>File</w:t>
            </w:r>
          </w:p>
        </w:tc>
        <w:tc>
          <w:tcPr>
            <w:tcW w:type="dxa" w:w="4752"/>
            <w:shd w:fill="1F4E79"/>
            <w:vAlign w:val="center"/>
          </w:tcPr>
          <w:p>
            <w:pPr>
              <w:jc w:val="center"/>
            </w:pPr>
            <w:r>
              <w:rPr>
                <w:b/>
                <w:color w:val="FFFFFF"/>
                <w:sz w:val="17"/>
              </w:rPr>
              <w:t>Purpose</w:t>
            </w:r>
          </w:p>
        </w:tc>
      </w:tr>
      <w:tr>
        <w:tc>
          <w:tcPr>
            <w:tcW w:type="dxa" w:w="4752"/>
            <w:vAlign w:val="center"/>
          </w:tcPr>
          <w:p>
            <w:pPr>
              <w:jc w:val="left"/>
            </w:pPr>
            <w:r>
              <w:rPr>
                <w:sz w:val="17"/>
              </w:rPr>
              <w:t>Olist_Ecommerce_Marketplace_Analysis_Dashboard.pbix</w:t>
            </w:r>
          </w:p>
        </w:tc>
        <w:tc>
          <w:tcPr>
            <w:tcW w:type="dxa" w:w="4752"/>
            <w:vAlign w:val="center"/>
          </w:tcPr>
          <w:p>
            <w:pPr>
              <w:jc w:val="center"/>
            </w:pPr>
            <w:r>
              <w:rPr>
                <w:sz w:val="17"/>
              </w:rPr>
              <w:t>Power BI dashboard file</w:t>
            </w:r>
          </w:p>
        </w:tc>
      </w:tr>
      <w:tr>
        <w:tc>
          <w:tcPr>
            <w:tcW w:type="dxa" w:w="4752"/>
            <w:vAlign w:val="center"/>
          </w:tcPr>
          <w:p>
            <w:pPr>
              <w:jc w:val="left"/>
            </w:pPr>
            <w:r>
              <w:rPr>
                <w:sz w:val="17"/>
              </w:rPr>
              <w:t>Olist_Ecommerce_SQL_Analysis.ipynb</w:t>
            </w:r>
          </w:p>
        </w:tc>
        <w:tc>
          <w:tcPr>
            <w:tcW w:type="dxa" w:w="4752"/>
            <w:vAlign w:val="center"/>
          </w:tcPr>
          <w:p>
            <w:pPr>
              <w:jc w:val="center"/>
            </w:pPr>
            <w:r>
              <w:rPr>
                <w:sz w:val="17"/>
              </w:rPr>
              <w:t>SQL validation notebook</w:t>
            </w:r>
          </w:p>
        </w:tc>
      </w:tr>
      <w:tr>
        <w:tc>
          <w:tcPr>
            <w:tcW w:type="dxa" w:w="4752"/>
            <w:vAlign w:val="center"/>
          </w:tcPr>
          <w:p>
            <w:pPr>
              <w:jc w:val="left"/>
            </w:pPr>
            <w:r>
              <w:rPr>
                <w:sz w:val="17"/>
              </w:rPr>
              <w:t>dashboard_page_1_executive_overview.png</w:t>
            </w:r>
          </w:p>
        </w:tc>
        <w:tc>
          <w:tcPr>
            <w:tcW w:type="dxa" w:w="4752"/>
            <w:vAlign w:val="center"/>
          </w:tcPr>
          <w:p>
            <w:pPr>
              <w:jc w:val="center"/>
            </w:pPr>
            <w:r>
              <w:rPr>
                <w:sz w:val="17"/>
              </w:rPr>
              <w:t>Executive dashboard screenshot</w:t>
            </w:r>
          </w:p>
        </w:tc>
      </w:tr>
      <w:tr>
        <w:tc>
          <w:tcPr>
            <w:tcW w:type="dxa" w:w="4752"/>
            <w:vAlign w:val="center"/>
          </w:tcPr>
          <w:p>
            <w:pPr>
              <w:jc w:val="left"/>
            </w:pPr>
            <w:r>
              <w:rPr>
                <w:sz w:val="17"/>
              </w:rPr>
              <w:t>dashboard_page_2_delivery_review_analysis.png</w:t>
            </w:r>
          </w:p>
        </w:tc>
        <w:tc>
          <w:tcPr>
            <w:tcW w:type="dxa" w:w="4752"/>
            <w:vAlign w:val="center"/>
          </w:tcPr>
          <w:p>
            <w:pPr>
              <w:jc w:val="center"/>
            </w:pPr>
            <w:r>
              <w:rPr>
                <w:sz w:val="17"/>
              </w:rPr>
              <w:t>Delivery and review dashboard screenshot</w:t>
            </w:r>
          </w:p>
        </w:tc>
      </w:tr>
      <w:tr>
        <w:tc>
          <w:tcPr>
            <w:tcW w:type="dxa" w:w="4752"/>
            <w:vAlign w:val="center"/>
          </w:tcPr>
          <w:p>
            <w:pPr>
              <w:jc w:val="left"/>
            </w:pPr>
            <w:r>
              <w:rPr>
                <w:sz w:val="17"/>
              </w:rPr>
              <w:t>dashboard_page_3_product_seller_analysis.png</w:t>
            </w:r>
          </w:p>
        </w:tc>
        <w:tc>
          <w:tcPr>
            <w:tcW w:type="dxa" w:w="4752"/>
            <w:vAlign w:val="center"/>
          </w:tcPr>
          <w:p>
            <w:pPr>
              <w:jc w:val="center"/>
            </w:pPr>
            <w:r>
              <w:rPr>
                <w:sz w:val="17"/>
              </w:rPr>
              <w:t>Product and seller dashboard screenshot</w:t>
            </w:r>
          </w:p>
        </w:tc>
      </w:tr>
      <w:tr>
        <w:tc>
          <w:tcPr>
            <w:tcW w:type="dxa" w:w="4752"/>
            <w:vAlign w:val="center"/>
          </w:tcPr>
          <w:p>
            <w:pPr>
              <w:jc w:val="left"/>
            </w:pPr>
            <w:r>
              <w:rPr>
                <w:sz w:val="17"/>
              </w:rPr>
              <w:t>Olist_Ecommerce_Project_Report.docx / .pdf</w:t>
            </w:r>
          </w:p>
        </w:tc>
        <w:tc>
          <w:tcPr>
            <w:tcW w:type="dxa" w:w="4752"/>
            <w:vAlign w:val="center"/>
          </w:tcPr>
          <w:p>
            <w:pPr>
              <w:jc w:val="center"/>
            </w:pPr>
            <w:r>
              <w:rPr>
                <w:sz w:val="17"/>
              </w:rPr>
              <w:t>Final project report</w:t>
            </w:r>
          </w:p>
        </w:tc>
      </w:tr>
    </w:tbl>
    <w:p>
      <w:r>
        <w:t xml:space="preserve">Dataset source: </w:t>
      </w:r>
      <w:hyperlink r:id="rId13">
        <w:r>
          <w:rPr>
            <w:color w:val="0563C1"/>
            <w:u w:val="single"/>
          </w:rPr>
          <w:t>Brazilian E-Commerce Public Dataset by Olist on Kaggle</w:t>
        </w:r>
      </w:hyperlink>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Olist E-Commerce Marketplace Analysis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kaggle.com/datasets/olistbr/brazilian-ecomme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Marketplace Analysis Report</dc:title>
  <dc:subject>Power BI and SQL project report</dc:subject>
  <dc:creator>Shubham Kumar Dubey</dc:creator>
  <cp:keywords>Power BI, SQL, Data Analysis, Olist, E-Commerce</cp:keywords>
  <dc:description/>
  <cp:lastModifiedBy/>
  <cp:revision>1</cp:revision>
  <dcterms:created xsi:type="dcterms:W3CDTF">2013-12-23T23:15:00Z</dcterms:created>
  <dcterms:modified xsi:type="dcterms:W3CDTF">2013-12-23T23:15:00Z</dcterms:modified>
  <cp:category/>
</cp:coreProperties>
</file>