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pPr>
      <w:r>
        <w:rPr>
          <w:rFonts w:ascii="Calibri" w:hAnsi="Calibri"/>
          <w:b/>
          <w:i w:val="0"/>
          <w:color w:val="0F172A"/>
          <w:sz w:val="36"/>
        </w:rPr>
        <w:t>Point-by-Point Response to Editor and Reviewer Comments</w:t>
      </w:r>
    </w:p>
    <w:p>
      <w:pPr>
        <w:spacing w:before="40" w:after="80" w:line="276" w:lineRule="auto"/>
      </w:pPr>
      <w:r>
        <w:rPr>
          <w:rFonts w:ascii="Calibri" w:hAnsi="Calibri"/>
          <w:b/>
          <w:i w:val="0"/>
          <w:sz w:val="21"/>
        </w:rPr>
        <w:t>Manuscript Title:</w:t>
      </w:r>
      <w:r>
        <w:rPr>
          <w:rFonts w:ascii="Calibri" w:hAnsi="Calibri"/>
          <w:b w:val="0"/>
          <w:i w:val="0"/>
          <w:sz w:val="21"/>
        </w:rPr>
        <w:t xml:space="preserve"> Observability-Aware Satellite Flood Inundation Mapping: Quantifying Multi-Modal Evidence Fusion, Physical Ambiguity, and Abstention Across Multi-Continent Regimes  </w:t>
      </w:r>
    </w:p>
    <w:p>
      <w:pPr>
        <w:spacing w:before="40" w:after="80" w:line="276" w:lineRule="auto"/>
      </w:pPr>
      <w:r>
        <w:rPr>
          <w:rFonts w:ascii="Calibri" w:hAnsi="Calibri"/>
          <w:b w:val="0"/>
          <w:i/>
          <w:sz w:val="21"/>
        </w:rPr>
        <w:t>(Formerly: "Earth One Flood: Autonomous Multimodal Flood Detection with Physics-Gated Evidence Fusion and Observability-Aware Uncertainty")</w:t>
      </w:r>
      <w:r>
        <w:rPr>
          <w:rFonts w:ascii="Calibri" w:hAnsi="Calibri"/>
          <w:b w:val="0"/>
          <w:i w:val="0"/>
          <w:sz w:val="21"/>
        </w:rPr>
        <w:t xml:space="preserve">  </w:t>
      </w:r>
    </w:p>
    <w:p>
      <w:pPr>
        <w:spacing w:before="40" w:after="80" w:line="276" w:lineRule="auto"/>
      </w:pPr>
      <w:r>
        <w:rPr>
          <w:rFonts w:ascii="Calibri" w:hAnsi="Calibri"/>
          <w:b/>
          <w:i w:val="0"/>
          <w:sz w:val="21"/>
        </w:rPr>
        <w:t>Authors:</w:t>
      </w:r>
      <w:r>
        <w:rPr>
          <w:rFonts w:ascii="Calibri" w:hAnsi="Calibri"/>
          <w:b w:val="0"/>
          <w:i w:val="0"/>
          <w:sz w:val="21"/>
        </w:rPr>
        <w:t xml:space="preserve"> Shubham Sharma, Shruti Tiwari  </w:t>
      </w:r>
    </w:p>
    <w:p>
      <w:pPr>
        <w:spacing w:before="40" w:after="80" w:line="276" w:lineRule="auto"/>
      </w:pPr>
      <w:r>
        <w:rPr>
          <w:rFonts w:ascii="Calibri" w:hAnsi="Calibri"/>
          <w:b/>
          <w:i w:val="0"/>
          <w:sz w:val="21"/>
        </w:rPr>
        <w:t>Journal:</w:t>
      </w:r>
      <w:r>
        <w:rPr>
          <w:rFonts w:ascii="Calibri" w:hAnsi="Calibri"/>
          <w:b w:val="0"/>
          <w:i w:val="0"/>
          <w:sz w:val="21"/>
        </w:rPr>
        <w:t xml:space="preserve"> </w:t>
      </w:r>
      <w:r>
        <w:rPr>
          <w:rFonts w:ascii="Calibri" w:hAnsi="Calibri"/>
          <w:b w:val="0"/>
          <w:i/>
          <w:sz w:val="21"/>
        </w:rPr>
        <w:t>Pure and Applied Geophysics</w:t>
      </w:r>
      <w:r>
        <w:rPr>
          <w:rFonts w:ascii="Calibri" w:hAnsi="Calibri"/>
          <w:b w:val="0"/>
          <w:i w:val="0"/>
          <w:sz w:val="21"/>
        </w:rPr>
        <w:t xml:space="preserve"> (Springer Nature)  </w:t>
      </w:r>
    </w:p>
    <w:p>
      <w:pPr>
        <w:spacing w:before="40" w:after="80" w:line="276" w:lineRule="auto"/>
      </w:pPr>
      <w:r>
        <w:rPr>
          <w:rFonts w:ascii="Calibri" w:hAnsi="Calibri"/>
          <w:b/>
          <w:i w:val="0"/>
          <w:sz w:val="21"/>
        </w:rPr>
        <w:t>Tracking Number / Decision:</w:t>
      </w:r>
      <w:r>
        <w:rPr>
          <w:rFonts w:ascii="Calibri" w:hAnsi="Calibri"/>
          <w:b w:val="0"/>
          <w:i w:val="0"/>
          <w:sz w:val="21"/>
        </w:rPr>
        <w:t xml:space="preserve"> Revise and Resubmit (Major Revision)  </w:t>
      </w:r>
    </w:p>
    <w:p>
      <w:pPr>
        <w:spacing w:before="120" w:after="120"/>
      </w:pPr>
      <w:r>
        <w:rPr>
          <w:color w:val="94A3B8"/>
        </w:rPr>
        <w:t>――――――――――――――――――――――――――――――――――――――――――――――――――</w:t>
      </w:r>
    </w:p>
    <w:p>
      <w:pPr>
        <w:spacing w:before="260" w:after="120"/>
      </w:pPr>
      <w:r>
        <w:rPr>
          <w:rFonts w:ascii="Calibri" w:hAnsi="Calibri"/>
          <w:b/>
          <w:i w:val="0"/>
          <w:color w:val="1E3A8A"/>
          <w:sz w:val="28"/>
        </w:rPr>
        <w:t>Executive Response to Editor Alexander Rabinovich and Guest Editor Rana Muhammad Adnan Ikram</w:t>
      </w:r>
    </w:p>
    <w:p>
      <w:pPr>
        <w:spacing w:before="40" w:after="80" w:line="276" w:lineRule="auto"/>
      </w:pPr>
      <w:r>
        <w:rPr>
          <w:rFonts w:ascii="Calibri" w:hAnsi="Calibri"/>
          <w:b w:val="0"/>
          <w:i w:val="0"/>
          <w:sz w:val="21"/>
        </w:rPr>
        <w:t>Dear Dr. Alexander Rabinovich and Dr. Rana Muhammad Adnan Ikram,</w:t>
      </w:r>
    </w:p>
    <w:p>
      <w:pPr>
        <w:spacing w:before="40" w:after="80" w:line="276" w:lineRule="auto"/>
      </w:pPr>
      <w:r>
        <w:rPr>
          <w:rFonts w:ascii="Calibri" w:hAnsi="Calibri"/>
          <w:b w:val="0"/>
          <w:i w:val="0"/>
          <w:sz w:val="21"/>
        </w:rPr>
        <w:t>We express our sincere gratitude to the Editorial Board and the three anonymous reviewers for their thorough, incisive, and constructive evaluation of our manuscript. We appreciate the opportunity to undertake a comprehensive "Revise and Resubmit" major revision.</w:t>
      </w:r>
    </w:p>
    <w:p>
      <w:pPr>
        <w:spacing w:before="40" w:after="80" w:line="276" w:lineRule="auto"/>
      </w:pPr>
      <w:r>
        <w:rPr>
          <w:rFonts w:ascii="Calibri" w:hAnsi="Calibri"/>
          <w:b w:val="0"/>
          <w:i w:val="0"/>
          <w:sz w:val="21"/>
        </w:rPr>
        <w:t>Following an exhaustive audit of the initial draft and reviewer critiques, we have executed a ground-up restructuring of the study. Specifically, we have resolved all major scientific, methodological, and presentation issues:</w:t>
      </w:r>
    </w:p>
    <w:p>
      <w:pPr>
        <w:spacing w:before="20" w:after="40"/>
        <w:ind w:left="432" w:hanging="432"/>
      </w:pPr>
      <w:r>
        <w:rPr>
          <w:rFonts w:ascii="Calibri" w:hAnsi="Calibri"/>
          <w:b/>
          <w:sz w:val="21"/>
        </w:rPr>
        <w:t xml:space="preserve">1. </w:t>
      </w:r>
      <w:r>
        <w:rPr>
          <w:rFonts w:ascii="Calibri" w:hAnsi="Calibri"/>
          <w:b/>
          <w:i w:val="0"/>
          <w:sz w:val="21"/>
        </w:rPr>
        <w:t>Resolution of Cohort Overlap &amp; Definitive Event Manifest (Critical Issue 1):</w:t>
      </w:r>
    </w:p>
    <w:p>
      <w:pPr>
        <w:spacing w:before="40" w:after="80" w:line="276" w:lineRule="auto"/>
      </w:pPr>
      <w:r>
        <w:rPr>
          <w:rFonts w:ascii="Calibri" w:hAnsi="Calibri"/>
          <w:b w:val="0"/>
          <w:i w:val="0"/>
          <w:sz w:val="21"/>
        </w:rPr>
        <w:t xml:space="preserve">   In the previous draft, the experimental cohorts overlapped confusingly (e.g., Mozambique EMSR348 appeared across multiple holdouts, and events in Section 3.3 were claimed to be uncalibrated despite appearing in the binning analysis). We have rebuilt the experimental design into a </w:t>
      </w:r>
      <w:r>
        <w:rPr>
          <w:rFonts w:ascii="Calibri" w:hAnsi="Calibri"/>
          <w:b/>
          <w:i w:val="0"/>
          <w:sz w:val="21"/>
        </w:rPr>
        <w:t>single, unambiguous partitioning structure</w:t>
      </w:r>
      <w:r>
        <w:rPr>
          <w:rFonts w:ascii="Calibri" w:hAnsi="Calibri"/>
          <w:b w:val="0"/>
          <w:i w:val="0"/>
          <w:sz w:val="21"/>
        </w:rPr>
        <w:t>:</w:t>
      </w:r>
    </w:p>
    <w:p>
      <w:pPr>
        <w:pStyle w:val="ListBullet"/>
        <w:spacing w:before="20" w:after="40"/>
      </w:pPr>
      <w:r>
        <w:rPr>
          <w:rFonts w:ascii="Calibri" w:hAnsi="Calibri"/>
          <w:b/>
          <w:i w:val="0"/>
          <w:sz w:val="21"/>
        </w:rPr>
        <w:t>Development Cohort (N = 3):</w:t>
      </w:r>
      <w:r>
        <w:rPr>
          <w:rFonts w:ascii="Calibri" w:hAnsi="Calibri"/>
          <w:b w:val="0"/>
          <w:i w:val="0"/>
          <w:sz w:val="21"/>
        </w:rPr>
        <w:t xml:space="preserve"> EMSR439 (Bangladesh), EMSR629 (Pakistan), and EMSR548 (Italy Catania). Used strictly for initial heuristic parameter tuning, threshold sensitivity analysis, and fitting the isotonic probability calibrator. Pakistan's high score (</w:t>
      </w:r>
      <w:r>
        <w:rPr>
          <w:rFonts w:ascii="Cambria Math" w:hAnsi="Cambria Math"/>
          <w:i/>
          <w:sz w:val="21"/>
        </w:rPr>
        <w:t>0.8337</w:t>
      </w:r>
      <w:r>
        <w:rPr>
          <w:rFonts w:ascii="Calibri" w:hAnsi="Calibri"/>
          <w:b w:val="0"/>
          <w:i w:val="0"/>
          <w:sz w:val="21"/>
        </w:rPr>
        <w:t xml:space="preserve"> PR-AUC, </w:t>
      </w:r>
      <w:r>
        <w:rPr>
          <w:rFonts w:ascii="Cambria Math" w:hAnsi="Cambria Math"/>
          <w:i/>
          <w:sz w:val="21"/>
        </w:rPr>
        <w:t>80.1%</w:t>
      </w:r>
      <w:r>
        <w:rPr>
          <w:rFonts w:ascii="Calibri" w:hAnsi="Calibri"/>
          <w:b w:val="0"/>
          <w:i w:val="0"/>
          <w:sz w:val="21"/>
        </w:rPr>
        <w:t xml:space="preserve"> F1) is explicitly identified as an in-development diagnostic upper bound, not an unseen validation result.</w:t>
      </w:r>
    </w:p>
    <w:p>
      <w:pPr>
        <w:pStyle w:val="ListBullet"/>
        <w:spacing w:before="20" w:after="40"/>
      </w:pPr>
      <w:r>
        <w:rPr>
          <w:rFonts w:ascii="Calibri" w:hAnsi="Calibri"/>
          <w:b/>
          <w:i w:val="0"/>
          <w:sz w:val="21"/>
        </w:rPr>
        <w:t>Genuinely Held-Out Validation Pool (N = 8):</w:t>
      </w:r>
      <w:r>
        <w:rPr>
          <w:rFonts w:ascii="Calibri" w:hAnsi="Calibri"/>
          <w:b w:val="0"/>
          <w:i w:val="0"/>
          <w:sz w:val="21"/>
        </w:rPr>
        <w:t xml:space="preserve"> EMSR348 (Mozambique), EMSR468 (Italy Tanaro), EMSR517 (Germany), EMSR464 (Vietnam), EMSR357 (India), EMSR445 (Ukraine), EMSR567 (Australia), and EMSR286 (Colombia). </w:t>
      </w:r>
      <w:r>
        <w:rPr>
          <w:rFonts w:ascii="Calibri" w:hAnsi="Calibri"/>
          <w:b/>
          <w:i w:val="0"/>
          <w:sz w:val="21"/>
        </w:rPr>
        <w:t>Zero parameters were fitted or tuned on these eight activations.</w:t>
      </w:r>
    </w:p>
    <w:p>
      <w:pPr>
        <w:pStyle w:val="ListBullet"/>
        <w:spacing w:before="20" w:after="40"/>
      </w:pPr>
      <w:r>
        <w:rPr>
          <w:rFonts w:ascii="Calibri" w:hAnsi="Calibri"/>
          <w:b w:val="0"/>
          <w:i w:val="0"/>
          <w:sz w:val="21"/>
        </w:rPr>
        <w:t>All eight unseen activations are evaluated comprehensively in Table 2a and Table 2b. Restricting evaluation to the resolvable domain (</w:t>
      </w:r>
      <w:r>
        <w:rPr>
          <w:rFonts w:ascii="Cambria Math" w:hAnsi="Cambria Math"/>
          <w:i/>
          <w:sz w:val="21"/>
        </w:rPr>
        <w:t>O ≥ 0.50</w:t>
      </w:r>
      <w:r>
        <w:rPr>
          <w:rFonts w:ascii="Calibri" w:hAnsi="Calibri"/>
          <w:b w:val="0"/>
          <w:i w:val="0"/>
          <w:sz w:val="21"/>
        </w:rPr>
        <w:t xml:space="preserve">) improves macro PR-AUC from </w:t>
      </w:r>
      <w:r>
        <w:rPr>
          <w:rFonts w:ascii="Cambria Math" w:hAnsi="Cambria Math"/>
          <w:i/>
          <w:sz w:val="21"/>
        </w:rPr>
        <w:t>0.06972</w:t>
      </w:r>
      <w:r>
        <w:rPr>
          <w:rFonts w:ascii="Calibri" w:hAnsi="Calibri"/>
          <w:b w:val="0"/>
          <w:i w:val="0"/>
          <w:sz w:val="21"/>
        </w:rPr>
        <w:t xml:space="preserve"> to </w:t>
      </w:r>
      <w:r>
        <w:rPr>
          <w:rFonts w:ascii="Cambria Math" w:hAnsi="Cambria Math"/>
          <w:i/>
          <w:sz w:val="21"/>
        </w:rPr>
        <w:t>0.09016</w:t>
      </w:r>
      <w:r>
        <w:rPr>
          <w:rFonts w:ascii="Calibri" w:hAnsi="Calibri"/>
          <w:b w:val="0"/>
          <w:i w:val="0"/>
          <w:sz w:val="21"/>
        </w:rPr>
        <w:t xml:space="preserve"> (a </w:t>
      </w:r>
      <w:r>
        <w:rPr>
          <w:rFonts w:ascii="Cambria Math" w:hAnsi="Cambria Math"/>
          <w:i/>
          <w:sz w:val="21"/>
        </w:rPr>
        <w:t>+29.3%</w:t>
      </w:r>
      <w:r>
        <w:rPr>
          <w:rFonts w:ascii="Calibri" w:hAnsi="Calibri"/>
          <w:b w:val="0"/>
          <w:i w:val="0"/>
          <w:sz w:val="21"/>
        </w:rPr>
        <w:t xml:space="preserve"> relative gain), with positive gains observed across all eight events without exception.</w:t>
      </w:r>
    </w:p>
    <w:p>
      <w:pPr>
        <w:pStyle w:val="ListBullet"/>
        <w:spacing w:before="20" w:after="40"/>
      </w:pPr>
      <w:r>
        <w:rPr>
          <w:rFonts w:ascii="Calibri" w:hAnsi="Calibri"/>
          <w:b w:val="0"/>
          <w:i w:val="0"/>
          <w:sz w:val="21"/>
        </w:rPr>
        <w:t xml:space="preserve">The analysis previously termed "observability calibration" is now formally designated as an </w:t>
      </w:r>
      <w:r>
        <w:rPr>
          <w:rFonts w:ascii="Calibri" w:hAnsi="Calibri"/>
          <w:b/>
          <w:i w:val="0"/>
          <w:sz w:val="21"/>
        </w:rPr>
        <w:t>Observability Reliability Audit across 1,310,720 held-out test pixels</w:t>
      </w:r>
      <w:r>
        <w:rPr>
          <w:rFonts w:ascii="Calibri" w:hAnsi="Calibri"/>
          <w:b w:val="0"/>
          <w:i w:val="0"/>
          <w:sz w:val="21"/>
        </w:rPr>
        <w:t>, openly acknowledging that this is an empirical check of test-set reliability rather than a parameter-fitting set.</w:t>
      </w:r>
    </w:p>
    <w:p>
      <w:pPr>
        <w:spacing w:before="20" w:after="40"/>
        <w:ind w:left="432" w:hanging="432"/>
      </w:pPr>
      <w:r>
        <w:rPr>
          <w:rFonts w:ascii="Calibri" w:hAnsi="Calibri"/>
          <w:b/>
          <w:sz w:val="21"/>
        </w:rPr>
        <w:t xml:space="preserve">2. </w:t>
      </w:r>
      <w:r>
        <w:rPr>
          <w:rFonts w:ascii="Calibri" w:hAnsi="Calibri"/>
          <w:b/>
          <w:i w:val="0"/>
          <w:sz w:val="21"/>
        </w:rPr>
        <w:t>Addition of Geographic Study Area Maps &amp; Visual Figures (Critical Issue 2):</w:t>
      </w:r>
    </w:p>
    <w:p>
      <w:pPr>
        <w:spacing w:before="40" w:after="80" w:line="276" w:lineRule="auto"/>
      </w:pPr>
      <w:r>
        <w:rPr>
          <w:rFonts w:ascii="Calibri" w:hAnsi="Calibri"/>
          <w:b w:val="0"/>
          <w:i w:val="0"/>
          <w:sz w:val="21"/>
        </w:rPr>
        <w:t xml:space="preserve">   Reviewer 1 explicitly noted the absence of geographic maps and spatial prediction comparisons. We have generated and integrated five dedicated, high-resolution figures:</w:t>
      </w:r>
    </w:p>
    <w:p>
      <w:pPr>
        <w:pStyle w:val="ListBullet"/>
        <w:spacing w:before="20" w:after="40"/>
      </w:pPr>
      <w:r>
        <w:rPr>
          <w:rFonts w:ascii="Calibri" w:hAnsi="Calibri"/>
          <w:b/>
          <w:i w:val="0"/>
          <w:sz w:val="21"/>
        </w:rPr>
        <w:t>Figure 2:</w:t>
      </w:r>
      <w:r>
        <w:rPr>
          <w:rFonts w:ascii="Calibri" w:hAnsi="Calibri"/>
          <w:b w:val="0"/>
          <w:i w:val="0"/>
          <w:sz w:val="21"/>
        </w:rPr>
        <w:t xml:space="preserve"> Global geographic distribution map showing all 11 Copernicus EMS study sites across five continents, distinguishing development from held-out validation events.</w:t>
      </w:r>
    </w:p>
    <w:p>
      <w:pPr>
        <w:pStyle w:val="ListBullet"/>
        <w:spacing w:before="20" w:after="40"/>
      </w:pPr>
      <w:r>
        <w:rPr>
          <w:rFonts w:ascii="Calibri" w:hAnsi="Calibri"/>
          <w:b/>
          <w:i w:val="0"/>
          <w:sz w:val="21"/>
        </w:rPr>
        <w:t>Figure 3:</w:t>
      </w:r>
      <w:r>
        <w:rPr>
          <w:rFonts w:ascii="Calibri" w:hAnsi="Calibri"/>
          <w:b w:val="0"/>
          <w:i w:val="0"/>
          <w:sz w:val="21"/>
        </w:rPr>
        <w:t xml:space="preserve"> Multi-panel spatial prediction vs. reference maps comparing Sentinel-1 SAR backscatter change, Observability Index </w:t>
      </w:r>
      <w:r>
        <w:rPr>
          <w:rFonts w:ascii="Cambria Math" w:hAnsi="Cambria Math"/>
          <w:i/>
          <w:sz w:val="21"/>
        </w:rPr>
        <w:t>O</w:t>
      </w:r>
      <w:r>
        <w:rPr>
          <w:rFonts w:ascii="Calibri" w:hAnsi="Calibri"/>
          <w:b w:val="0"/>
          <w:i w:val="0"/>
          <w:sz w:val="21"/>
        </w:rPr>
        <w:t>, tri-state classification (</w:t>
      </w:r>
      <w:r>
        <w:rPr>
          <w:rFonts w:ascii="Cambria Math" w:hAnsi="Cambria Math"/>
          <w:i/>
          <w:sz w:val="21"/>
        </w:rPr>
        <w:t>FLOOD</w:t>
      </w:r>
      <w:r>
        <w:rPr>
          <w:rFonts w:ascii="Calibri" w:hAnsi="Calibri"/>
          <w:b w:val="0"/>
          <w:i w:val="0"/>
          <w:sz w:val="21"/>
        </w:rPr>
        <w:t xml:space="preserve"> in cyan, </w:t>
      </w:r>
      <w:r>
        <w:rPr>
          <w:rFonts w:ascii="Cambria Math" w:hAnsi="Cambria Math"/>
          <w:i/>
          <w:sz w:val="21"/>
        </w:rPr>
        <w:t>NO_FLOOD</w:t>
      </w:r>
      <w:r>
        <w:rPr>
          <w:rFonts w:ascii="Calibri" w:hAnsi="Calibri"/>
          <w:b w:val="0"/>
          <w:i w:val="0"/>
          <w:sz w:val="21"/>
        </w:rPr>
        <w:t xml:space="preserve"> in gray, </w:t>
      </w:r>
      <w:r>
        <w:rPr>
          <w:rFonts w:ascii="Cambria Math" w:hAnsi="Cambria Math"/>
          <w:i/>
          <w:sz w:val="21"/>
        </w:rPr>
        <w:t>UNRESOLVED</w:t>
      </w:r>
      <w:r>
        <w:rPr>
          <w:rFonts w:ascii="Calibri" w:hAnsi="Calibri"/>
          <w:b w:val="0"/>
          <w:i w:val="0"/>
          <w:sz w:val="21"/>
        </w:rPr>
        <w:t xml:space="preserve"> in orange), and published CEMS vector ground truth across representative alluvial, alpine, and coastal regimes.</w:t>
      </w:r>
    </w:p>
    <w:p>
      <w:pPr>
        <w:pStyle w:val="ListBullet"/>
        <w:spacing w:before="20" w:after="40"/>
      </w:pPr>
      <w:r>
        <w:rPr>
          <w:rFonts w:ascii="Calibri" w:hAnsi="Calibri"/>
          <w:b/>
          <w:i w:val="0"/>
          <w:sz w:val="21"/>
        </w:rPr>
        <w:t>Figure 4:</w:t>
      </w:r>
      <w:r>
        <w:rPr>
          <w:rFonts w:ascii="Calibri" w:hAnsi="Calibri"/>
          <w:b w:val="0"/>
          <w:i w:val="0"/>
          <w:sz w:val="21"/>
        </w:rPr>
        <w:t xml:space="preserve"> Observability reliability audit across five tiers (accompanying Table 3) with </w:t>
      </w:r>
      <w:r>
        <w:rPr>
          <w:rFonts w:ascii="Cambria Math" w:hAnsi="Cambria Math"/>
          <w:i/>
          <w:sz w:val="21"/>
        </w:rPr>
        <w:t>95%</w:t>
      </w:r>
      <w:r>
        <w:rPr>
          <w:rFonts w:ascii="Calibri" w:hAnsi="Calibri"/>
          <w:b w:val="0"/>
          <w:i w:val="0"/>
          <w:sz w:val="21"/>
        </w:rPr>
        <w:t xml:space="preserve"> spatial block bootstrap confidence intervals, positive prevalence baseline, and undefined precision (</w:t>
      </w:r>
      <w:r>
        <w:rPr>
          <w:rFonts w:ascii="Cambria Math" w:hAnsi="Cambria Math"/>
          <w:i/>
          <w:sz w:val="21"/>
        </w:rPr>
        <w:t>0/0</w:t>
      </w:r>
      <w:r>
        <w:rPr>
          <w:rFonts w:ascii="Calibri" w:hAnsi="Calibri"/>
          <w:b w:val="0"/>
          <w:i w:val="0"/>
          <w:sz w:val="21"/>
        </w:rPr>
        <w:t>) in Bin 1 properly omitted.</w:t>
      </w:r>
    </w:p>
    <w:p>
      <w:pPr>
        <w:pStyle w:val="ListBullet"/>
        <w:spacing w:before="20" w:after="40"/>
      </w:pPr>
      <w:r>
        <w:rPr>
          <w:rFonts w:ascii="Calibri" w:hAnsi="Calibri"/>
          <w:b/>
          <w:i w:val="0"/>
          <w:sz w:val="21"/>
        </w:rPr>
        <w:t>Figure 5:</w:t>
      </w:r>
      <w:r>
        <w:rPr>
          <w:rFonts w:ascii="Calibri" w:hAnsi="Calibri"/>
          <w:b w:val="0"/>
          <w:i w:val="0"/>
          <w:sz w:val="21"/>
        </w:rPr>
        <w:t xml:space="preserve"> Risk-Coverage Trade-Off Curves (</w:t>
      </w:r>
      <w:r>
        <w:rPr>
          <w:rFonts w:ascii="Cambria Math" w:hAnsi="Cambria Math"/>
          <w:i/>
          <w:sz w:val="21"/>
        </w:rPr>
        <w:t>O_{thresh} ∈ [0.10, 0.80]</w:t>
      </w:r>
      <w:r>
        <w:rPr>
          <w:rFonts w:ascii="Calibri" w:hAnsi="Calibri"/>
          <w:b w:val="0"/>
          <w:i w:val="0"/>
          <w:sz w:val="21"/>
        </w:rPr>
        <w:t xml:space="preserve">, accompanying Table 4), plotting macro PR-AUC and false-positive suppression as a function of domain coverage reconciled at the </w:t>
      </w:r>
      <w:r>
        <w:rPr>
          <w:rFonts w:ascii="Cambria Math" w:hAnsi="Cambria Math"/>
          <w:i/>
          <w:sz w:val="21"/>
        </w:rPr>
        <w:t>44.14%</w:t>
      </w:r>
      <w:r>
        <w:rPr>
          <w:rFonts w:ascii="Calibri" w:hAnsi="Calibri"/>
          <w:b w:val="0"/>
          <w:i w:val="0"/>
          <w:sz w:val="21"/>
        </w:rPr>
        <w:t xml:space="preserve"> operating point.</w:t>
      </w:r>
    </w:p>
    <w:p>
      <w:pPr>
        <w:pStyle w:val="ListBullet"/>
        <w:spacing w:before="20" w:after="40"/>
      </w:pPr>
      <w:r>
        <w:rPr>
          <w:rFonts w:ascii="Calibri" w:hAnsi="Calibri"/>
          <w:b/>
          <w:i w:val="0"/>
          <w:sz w:val="21"/>
        </w:rPr>
        <w:t>Figure 6:</w:t>
      </w:r>
      <w:r>
        <w:rPr>
          <w:rFonts w:ascii="Calibri" w:hAnsi="Calibri"/>
          <w:b w:val="0"/>
          <w:i w:val="0"/>
          <w:sz w:val="21"/>
        </w:rPr>
        <w:t xml:space="preserve"> Interannual temporal domain shift stabilization (</w:t>
      </w:r>
      <w:r>
        <w:rPr>
          <w:rFonts w:ascii="Cambria Math" w:hAnsi="Cambria Math"/>
          <w:i/>
          <w:sz w:val="21"/>
        </w:rPr>
        <w:t>2018–2022</w:t>
      </w:r>
      <w:r>
        <w:rPr>
          <w:rFonts w:ascii="Calibri" w:hAnsi="Calibri"/>
          <w:b w:val="0"/>
          <w:i w:val="0"/>
          <w:sz w:val="21"/>
        </w:rPr>
        <w:t>) and component-level ablation at matched coverage (</w:t>
      </w:r>
      <w:r>
        <w:rPr>
          <w:rFonts w:ascii="Cambria Math" w:hAnsi="Cambria Math"/>
          <w:i/>
          <w:sz w:val="21"/>
        </w:rPr>
        <w:t>44.14%</w:t>
      </w:r>
      <w:r>
        <w:rPr>
          <w:rFonts w:ascii="Calibri" w:hAnsi="Calibri"/>
          <w:b w:val="0"/>
          <w:i w:val="0"/>
          <w:sz w:val="21"/>
        </w:rPr>
        <w:t>).</w:t>
      </w:r>
    </w:p>
    <w:p>
      <w:pPr>
        <w:spacing w:before="20" w:after="40"/>
        <w:ind w:left="432" w:hanging="432"/>
      </w:pPr>
      <w:r>
        <w:rPr>
          <w:rFonts w:ascii="Calibri" w:hAnsi="Calibri"/>
          <w:b/>
          <w:sz w:val="21"/>
        </w:rPr>
        <w:t xml:space="preserve">3. </w:t>
      </w:r>
      <w:r>
        <w:rPr>
          <w:rFonts w:ascii="Calibri" w:hAnsi="Calibri"/>
          <w:b/>
          <w:i w:val="0"/>
          <w:sz w:val="21"/>
        </w:rPr>
        <w:t>Correction of PDF Layout &amp; Table Clipping Defects (Critical Issue 3):</w:t>
      </w:r>
    </w:p>
    <w:p>
      <w:pPr>
        <w:spacing w:before="40" w:after="80" w:line="276" w:lineRule="auto"/>
      </w:pPr>
      <w:r>
        <w:rPr>
          <w:rFonts w:ascii="Calibri" w:hAnsi="Calibri"/>
          <w:b w:val="0"/>
          <w:i w:val="0"/>
          <w:sz w:val="21"/>
        </w:rPr>
        <w:t xml:space="preserve">   The previous draft suffered from wide table clipping and overlapping text when converted to PDF. We have restructured the tables into compact, publication-standard dimensions:</w:t>
      </w:r>
    </w:p>
    <w:p>
      <w:pPr>
        <w:pStyle w:val="ListBullet"/>
        <w:spacing w:before="20" w:after="40"/>
      </w:pPr>
      <w:r>
        <w:rPr>
          <w:rFonts w:ascii="Calibri" w:hAnsi="Calibri"/>
          <w:b w:val="0"/>
          <w:i w:val="0"/>
          <w:sz w:val="21"/>
        </w:rPr>
        <w:t>Table 1: Master cohort specification and metadata.</w:t>
      </w:r>
    </w:p>
    <w:p>
      <w:pPr>
        <w:pStyle w:val="ListBullet"/>
        <w:spacing w:before="20" w:after="40"/>
      </w:pPr>
      <w:r>
        <w:rPr>
          <w:rFonts w:ascii="Calibri" w:hAnsi="Calibri"/>
          <w:b w:val="0"/>
          <w:i w:val="0"/>
          <w:sz w:val="21"/>
        </w:rPr>
        <w:t>Table 2a: Event characteristics, positive prevalence, chance baselines, and PR-AUC.</w:t>
      </w:r>
    </w:p>
    <w:p>
      <w:pPr>
        <w:pStyle w:val="ListBullet"/>
        <w:spacing w:before="20" w:after="40"/>
      </w:pPr>
      <w:r>
        <w:rPr>
          <w:rFonts w:ascii="Calibri" w:hAnsi="Calibri"/>
          <w:b w:val="0"/>
          <w:i w:val="0"/>
          <w:sz w:val="21"/>
        </w:rPr>
        <w:t>Table 2b: Confusion matrix counts (</w:t>
      </w:r>
      <w:r>
        <w:rPr>
          <w:rFonts w:ascii="Cambria Math" w:hAnsi="Cambria Math"/>
          <w:i/>
          <w:sz w:val="21"/>
        </w:rPr>
        <w:t>TP, FP, FN, TN</w:t>
      </w:r>
      <w:r>
        <w:rPr>
          <w:rFonts w:ascii="Calibri" w:hAnsi="Calibri"/>
          <w:b w:val="0"/>
          <w:i w:val="0"/>
          <w:sz w:val="21"/>
        </w:rPr>
        <w:t>), precision, recall, F1, IoU, area bias, and abstention percentages.</w:t>
      </w:r>
    </w:p>
    <w:p>
      <w:pPr>
        <w:pStyle w:val="ListBullet"/>
        <w:spacing w:before="20" w:after="40"/>
      </w:pPr>
      <w:r>
        <w:rPr>
          <w:rFonts w:ascii="Calibri" w:hAnsi="Calibri"/>
          <w:b w:val="0"/>
          <w:i w:val="0"/>
          <w:sz w:val="21"/>
        </w:rPr>
        <w:t>Every column fits comfortably within standard page margins with zero clipping, zero text overlap, and zero duplication.</w:t>
      </w:r>
    </w:p>
    <w:p>
      <w:pPr>
        <w:spacing w:before="20" w:after="40"/>
        <w:ind w:left="432" w:hanging="432"/>
      </w:pPr>
      <w:r>
        <w:rPr>
          <w:rFonts w:ascii="Calibri" w:hAnsi="Calibri"/>
          <w:b/>
          <w:sz w:val="21"/>
        </w:rPr>
        <w:t xml:space="preserve">4. </w:t>
      </w:r>
      <w:r>
        <w:rPr>
          <w:rFonts w:ascii="Calibri" w:hAnsi="Calibri"/>
          <w:b/>
          <w:i w:val="0"/>
          <w:sz w:val="21"/>
        </w:rPr>
        <w:t>Separate Data and Software DOIs &amp; GitHub Repository:</w:t>
      </w:r>
    </w:p>
    <w:p>
      <w:pPr>
        <w:pStyle w:val="ListBullet"/>
        <w:spacing w:before="20" w:after="40"/>
      </w:pPr>
      <w:r>
        <w:rPr>
          <w:rFonts w:ascii="Calibri" w:hAnsi="Calibri"/>
          <w:b w:val="0"/>
          <w:i w:val="0"/>
          <w:sz w:val="21"/>
        </w:rPr>
        <w:t xml:space="preserve">Data Archive DOI: </w:t>
      </w:r>
      <w:r>
        <w:rPr>
          <w:rFonts w:ascii="Consolas" w:hAnsi="Consolas"/>
          <w:color w:val="8B0000"/>
          <w:sz w:val="19"/>
        </w:rPr>
        <w:t>10.5281/zenodo.22079753</w:t>
      </w:r>
      <w:r>
        <w:rPr>
          <w:rFonts w:ascii="Calibri" w:hAnsi="Calibri"/>
          <w:b w:val="0"/>
          <w:i w:val="0"/>
          <w:sz w:val="21"/>
        </w:rPr>
        <w:t xml:space="preserve"> (Sharma, 2026: </w:t>
      </w:r>
      <w:r>
        <w:rPr>
          <w:rFonts w:ascii="Calibri" w:hAnsi="Calibri"/>
          <w:b w:val="0"/>
          <w:i/>
          <w:sz w:val="21"/>
        </w:rPr>
        <w:t>Earth One: Multi-Continent Satellite Flood Benchmark &amp; CEMS Validation Rasters</w:t>
      </w:r>
      <w:r>
        <w:rPr>
          <w:rFonts w:ascii="Calibri" w:hAnsi="Calibri"/>
          <w:b w:val="0"/>
          <w:i w:val="0"/>
          <w:sz w:val="21"/>
        </w:rPr>
        <w:t>).</w:t>
      </w:r>
    </w:p>
    <w:p>
      <w:pPr>
        <w:pStyle w:val="ListBullet"/>
        <w:spacing w:before="20" w:after="40"/>
      </w:pPr>
      <w:r>
        <w:rPr>
          <w:rFonts w:ascii="Calibri" w:hAnsi="Calibri"/>
          <w:b w:val="0"/>
          <w:i w:val="0"/>
          <w:sz w:val="21"/>
        </w:rPr>
        <w:t xml:space="preserve">Software Release DOI: </w:t>
      </w:r>
      <w:r>
        <w:rPr>
          <w:rFonts w:ascii="Consolas" w:hAnsi="Consolas"/>
          <w:color w:val="8B0000"/>
          <w:sz w:val="19"/>
        </w:rPr>
        <w:t>10.5281/zenodo.22079754</w:t>
      </w:r>
      <w:r>
        <w:rPr>
          <w:rFonts w:ascii="Calibri" w:hAnsi="Calibri"/>
          <w:b w:val="0"/>
          <w:i w:val="0"/>
          <w:sz w:val="21"/>
        </w:rPr>
        <w:t xml:space="preserve"> (Sharma &amp; Tiwari, 2026: </w:t>
      </w:r>
      <w:r>
        <w:rPr>
          <w:rFonts w:ascii="Calibri" w:hAnsi="Calibri"/>
          <w:b w:val="0"/>
          <w:i/>
          <w:sz w:val="21"/>
        </w:rPr>
        <w:t>Earth One Flood Module v2.0.0 Source Code and Test Suite</w:t>
      </w:r>
      <w:r>
        <w:rPr>
          <w:rFonts w:ascii="Calibri" w:hAnsi="Calibri"/>
          <w:b w:val="0"/>
          <w:i w:val="0"/>
          <w:sz w:val="21"/>
        </w:rPr>
        <w:t>).</w:t>
      </w:r>
    </w:p>
    <w:p>
      <w:pPr>
        <w:pStyle w:val="ListBullet"/>
        <w:spacing w:before="20" w:after="40"/>
      </w:pPr>
      <w:r>
        <w:rPr>
          <w:rFonts w:ascii="Calibri" w:hAnsi="Calibri"/>
          <w:b w:val="0"/>
          <w:i w:val="0"/>
          <w:sz w:val="21"/>
        </w:rPr>
        <w:t xml:space="preserve">GitHub Repository: </w:t>
      </w:r>
      <w:r>
        <w:rPr>
          <w:rFonts w:ascii="Consolas" w:hAnsi="Consolas"/>
          <w:color w:val="8B0000"/>
          <w:sz w:val="19"/>
        </w:rPr>
        <w:t>https://github.com/shubham-exe-web/earth-one</w:t>
      </w:r>
      <w:r>
        <w:rPr>
          <w:rFonts w:ascii="Calibri" w:hAnsi="Calibri"/>
          <w:b w:val="0"/>
          <w:i w:val="0"/>
          <w:sz w:val="21"/>
        </w:rPr>
        <w:t xml:space="preserve"> (release tag </w:t>
      </w:r>
      <w:r>
        <w:rPr>
          <w:rFonts w:ascii="Consolas" w:hAnsi="Consolas"/>
          <w:color w:val="8B0000"/>
          <w:sz w:val="19"/>
        </w:rPr>
        <w:t>v2.0.0</w:t>
      </w:r>
      <w:r>
        <w:rPr>
          <w:rFonts w:ascii="Calibri" w:hAnsi="Calibri"/>
          <w:b w:val="0"/>
          <w:i w:val="0"/>
          <w:sz w:val="21"/>
        </w:rPr>
        <w:t>).</w:t>
      </w:r>
    </w:p>
    <w:p>
      <w:pPr>
        <w:spacing w:before="20" w:after="40"/>
        <w:ind w:left="432" w:hanging="432"/>
      </w:pPr>
      <w:r>
        <w:rPr>
          <w:rFonts w:ascii="Calibri" w:hAnsi="Calibri"/>
          <w:b/>
          <w:sz w:val="21"/>
        </w:rPr>
        <w:t xml:space="preserve">5. </w:t>
      </w:r>
      <w:r>
        <w:rPr>
          <w:rFonts w:ascii="Calibri" w:hAnsi="Calibri"/>
          <w:b/>
          <w:i w:val="0"/>
          <w:sz w:val="21"/>
        </w:rPr>
        <w:t>In-Text Citation of Muñoz-Sabater et al. (2021):</w:t>
      </w:r>
    </w:p>
    <w:p>
      <w:pPr>
        <w:spacing w:before="40" w:after="80" w:line="276" w:lineRule="auto"/>
      </w:pPr>
      <w:r>
        <w:rPr>
          <w:rFonts w:ascii="Calibri" w:hAnsi="Calibri"/>
          <w:b w:val="0"/>
          <w:i w:val="0"/>
          <w:sz w:val="21"/>
        </w:rPr>
        <w:t xml:space="preserve">   Now explicitly cited in Section 2.1 and Section 2.3 regarding ERA5-Land precipitation reanalysis used for antecedent precipitation anomalies.</w:t>
      </w:r>
    </w:p>
    <w:p>
      <w:pPr>
        <w:spacing w:before="120" w:after="120"/>
      </w:pPr>
      <w:r>
        <w:rPr>
          <w:color w:val="94A3B8"/>
        </w:rPr>
        <w:t>――――――――――――――――――――――――――――――――――――――――――――――――――</w:t>
      </w:r>
    </w:p>
    <w:p>
      <w:pPr>
        <w:spacing w:before="260" w:after="120"/>
      </w:pPr>
      <w:r>
        <w:rPr>
          <w:rFonts w:ascii="Calibri" w:hAnsi="Calibri"/>
          <w:b/>
          <w:i w:val="0"/>
          <w:color w:val="1E3A8A"/>
          <w:sz w:val="28"/>
        </w:rPr>
        <w:t>Detailed Responses to Reviewers</w:t>
      </w:r>
    </w:p>
    <w:p>
      <w:pPr>
        <w:spacing w:before="200" w:after="80"/>
      </w:pPr>
      <w:r>
        <w:rPr>
          <w:rFonts w:ascii="Calibri" w:hAnsi="Calibri"/>
          <w:b/>
          <w:i w:val="0"/>
          <w:color w:val="0369A1"/>
          <w:sz w:val="24"/>
        </w:rPr>
        <w:t>Audit Reconciliation: Resolution of Critical Reviewer &amp; Auditor Issues A–E</w:t>
      </w:r>
    </w:p>
    <w:p>
      <w:pPr>
        <w:spacing w:before="40" w:after="80" w:line="276" w:lineRule="auto"/>
      </w:pPr>
      <w:r>
        <w:rPr>
          <w:rFonts w:ascii="Calibri" w:hAnsi="Calibri"/>
          <w:b w:val="0"/>
          <w:i w:val="0"/>
          <w:sz w:val="21"/>
        </w:rPr>
        <w:t xml:space="preserve">Following the pre-submission audit review of </w:t>
      </w:r>
      <w:r>
        <w:rPr>
          <w:rFonts w:ascii="Consolas" w:hAnsi="Consolas"/>
          <w:color w:val="8B0000"/>
          <w:sz w:val="19"/>
        </w:rPr>
        <w:t>REVISED_MANUSCRIPT_PAGEOPH.docx</w:t>
      </w:r>
      <w:r>
        <w:rPr>
          <w:rFonts w:ascii="Calibri" w:hAnsi="Calibri"/>
          <w:b w:val="0"/>
          <w:i w:val="0"/>
          <w:sz w:val="21"/>
        </w:rPr>
        <w:t>, we have resolved all remaining numerical contradictions, cohort definitions, figure counts, baseline comparisons, and reproducibility package commands:</w:t>
      </w:r>
    </w:p>
    <w:p>
      <w:pPr>
        <w:spacing w:before="20" w:after="40"/>
        <w:ind w:left="432" w:hanging="432"/>
      </w:pPr>
      <w:r>
        <w:rPr>
          <w:rFonts w:ascii="Calibri" w:hAnsi="Calibri"/>
          <w:b/>
          <w:sz w:val="21"/>
        </w:rPr>
        <w:t xml:space="preserve">1. </w:t>
      </w:r>
      <w:r>
        <w:rPr>
          <w:rFonts w:ascii="Calibri" w:hAnsi="Calibri"/>
          <w:b/>
          <w:i w:val="0"/>
          <w:sz w:val="21"/>
        </w:rPr>
        <w:t>Audit Issue A: Exact Unresolved Flood Accounting &amp; Confusion Matrices (Reconciled from Masks):</w:t>
      </w:r>
    </w:p>
    <w:p>
      <w:pPr>
        <w:pStyle w:val="ListBullet"/>
        <w:spacing w:before="20" w:after="40"/>
      </w:pPr>
      <w:r>
        <w:rPr>
          <w:rFonts w:ascii="Calibri" w:hAnsi="Calibri"/>
          <w:b/>
          <w:i w:val="0"/>
          <w:sz w:val="21"/>
        </w:rPr>
        <w:t>Direct Mask Calculation:</w:t>
      </w:r>
      <w:r>
        <w:rPr>
          <w:rFonts w:ascii="Calibri" w:hAnsi="Calibri"/>
          <w:b w:val="0"/>
          <w:i w:val="0"/>
          <w:sz w:val="21"/>
        </w:rPr>
        <w:t xml:space="preserve"> Rather than attempting prose approximations, the unresolved reference flood area was recalculated directly from the actual prediction, reference, and observability masks for all eight held-out validation events. Summing event-level reference flood pixels falling within the unresolved domain (</w:t>
      </w:r>
      <w:r>
        <w:rPr>
          <w:rFonts w:ascii="Cambria Math" w:hAnsi="Cambria Math"/>
          <w:i/>
          <w:sz w:val="21"/>
        </w:rPr>
        <w:t>O &lt; 0.50</w:t>
      </w:r>
      <w:r>
        <w:rPr>
          <w:rFonts w:ascii="Calibri" w:hAnsi="Calibri"/>
          <w:b w:val="0"/>
          <w:i w:val="0"/>
          <w:sz w:val="21"/>
        </w:rPr>
        <w:t xml:space="preserve">) yields exactly </w:t>
      </w:r>
      <w:r>
        <w:rPr>
          <w:rFonts w:ascii="Calibri" w:hAnsi="Calibri"/>
          <w:b/>
          <w:i w:val="0"/>
          <w:sz w:val="21"/>
        </w:rPr>
        <w:t>FN_{unres} = 39,348</w:t>
      </w:r>
      <w:r>
        <w:rPr>
          <w:rFonts w:ascii="Calibri" w:hAnsi="Calibri"/>
          <w:b w:val="0"/>
          <w:i w:val="0"/>
          <w:sz w:val="21"/>
        </w:rPr>
        <w:t xml:space="preserve"> pixels (</w:t>
      </w:r>
      <w:r>
        <w:rPr>
          <w:rFonts w:ascii="Cambria Math" w:hAnsi="Cambria Math"/>
          <w:i/>
          <w:sz w:val="21"/>
        </w:rPr>
        <w:t>42.32%</w:t>
      </w:r>
      <w:r>
        <w:rPr>
          <w:rFonts w:ascii="Calibri" w:hAnsi="Calibri"/>
          <w:b w:val="0"/>
          <w:i w:val="0"/>
          <w:sz w:val="21"/>
        </w:rPr>
        <w:t xml:space="preserve"> of all reference flood extent across the eight held-out events: Mozambique </w:t>
      </w:r>
      <w:r>
        <w:rPr>
          <w:rFonts w:ascii="Cambria Math" w:hAnsi="Cambria Math"/>
          <w:i/>
          <w:sz w:val="21"/>
        </w:rPr>
        <w:t>764</w:t>
      </w:r>
      <w:r>
        <w:rPr>
          <w:rFonts w:ascii="Calibri" w:hAnsi="Calibri"/>
          <w:b w:val="0"/>
          <w:i w:val="0"/>
          <w:sz w:val="21"/>
        </w:rPr>
        <w:t xml:space="preserve">, Italy Tanaro </w:t>
      </w:r>
      <w:r>
        <w:rPr>
          <w:rFonts w:ascii="Cambria Math" w:hAnsi="Cambria Math"/>
          <w:i/>
          <w:sz w:val="21"/>
        </w:rPr>
        <w:t>680</w:t>
      </w:r>
      <w:r>
        <w:rPr>
          <w:rFonts w:ascii="Calibri" w:hAnsi="Calibri"/>
          <w:b w:val="0"/>
          <w:i w:val="0"/>
          <w:sz w:val="21"/>
        </w:rPr>
        <w:t xml:space="preserve">, Germany </w:t>
      </w:r>
      <w:r>
        <w:rPr>
          <w:rFonts w:ascii="Cambria Math" w:hAnsi="Cambria Math"/>
          <w:i/>
          <w:sz w:val="21"/>
        </w:rPr>
        <w:t>108</w:t>
      </w:r>
      <w:r>
        <w:rPr>
          <w:rFonts w:ascii="Calibri" w:hAnsi="Calibri"/>
          <w:b w:val="0"/>
          <w:i w:val="0"/>
          <w:sz w:val="21"/>
        </w:rPr>
        <w:t xml:space="preserve">, Vietnam </w:t>
      </w:r>
      <w:r>
        <w:rPr>
          <w:rFonts w:ascii="Cambria Math" w:hAnsi="Cambria Math"/>
          <w:i/>
          <w:sz w:val="21"/>
        </w:rPr>
        <w:t>193</w:t>
      </w:r>
      <w:r>
        <w:rPr>
          <w:rFonts w:ascii="Calibri" w:hAnsi="Calibri"/>
          <w:b w:val="0"/>
          <w:i w:val="0"/>
          <w:sz w:val="21"/>
        </w:rPr>
        <w:t xml:space="preserve">, India </w:t>
      </w:r>
      <w:r>
        <w:rPr>
          <w:rFonts w:ascii="Cambria Math" w:hAnsi="Cambria Math"/>
          <w:i/>
          <w:sz w:val="21"/>
        </w:rPr>
        <w:t>4,657</w:t>
      </w:r>
      <w:r>
        <w:rPr>
          <w:rFonts w:ascii="Calibri" w:hAnsi="Calibri"/>
          <w:b w:val="0"/>
          <w:i w:val="0"/>
          <w:sz w:val="21"/>
        </w:rPr>
        <w:t xml:space="preserve">, Ukraine </w:t>
      </w:r>
      <w:r>
        <w:rPr>
          <w:rFonts w:ascii="Cambria Math" w:hAnsi="Cambria Math"/>
          <w:i/>
          <w:sz w:val="21"/>
        </w:rPr>
        <w:t>1,159</w:t>
      </w:r>
      <w:r>
        <w:rPr>
          <w:rFonts w:ascii="Calibri" w:hAnsi="Calibri"/>
          <w:b w:val="0"/>
          <w:i w:val="0"/>
          <w:sz w:val="21"/>
        </w:rPr>
        <w:t xml:space="preserve">, Australia </w:t>
      </w:r>
      <w:r>
        <w:rPr>
          <w:rFonts w:ascii="Cambria Math" w:hAnsi="Cambria Math"/>
          <w:i/>
          <w:sz w:val="21"/>
        </w:rPr>
        <w:t>7,228</w:t>
      </w:r>
      <w:r>
        <w:rPr>
          <w:rFonts w:ascii="Calibri" w:hAnsi="Calibri"/>
          <w:b w:val="0"/>
          <w:i w:val="0"/>
          <w:sz w:val="21"/>
        </w:rPr>
        <w:t xml:space="preserve">, and Colombia </w:t>
      </w:r>
      <w:r>
        <w:rPr>
          <w:rFonts w:ascii="Cambria Math" w:hAnsi="Cambria Math"/>
          <w:i/>
          <w:sz w:val="21"/>
        </w:rPr>
        <w:t>24,559</w:t>
      </w:r>
      <w:r>
        <w:rPr>
          <w:rFonts w:ascii="Calibri" w:hAnsi="Calibri"/>
          <w:b w:val="0"/>
          <w:i w:val="0"/>
          <w:sz w:val="21"/>
        </w:rPr>
        <w:t>).</w:t>
      </w:r>
    </w:p>
    <w:p>
      <w:pPr>
        <w:pStyle w:val="ListBullet"/>
        <w:spacing w:before="20" w:after="40"/>
      </w:pPr>
      <w:r>
        <w:rPr>
          <w:rFonts w:ascii="Calibri" w:hAnsi="Calibri"/>
          <w:b/>
          <w:i w:val="0"/>
          <w:sz w:val="21"/>
        </w:rPr>
        <w:t>Full-Domain Tri-State Operational Accounting (N = 2,097,152 pixels):</w:t>
      </w:r>
      <w:r>
        <w:rPr>
          <w:rFonts w:ascii="Calibri" w:hAnsi="Calibri"/>
          <w:b w:val="0"/>
          <w:i w:val="0"/>
          <w:sz w:val="21"/>
        </w:rPr>
        <w:t xml:space="preserve"> Under an operational civil protection deployment, pixels with </w:t>
      </w:r>
      <w:r>
        <w:rPr>
          <w:rFonts w:ascii="Cambria Math" w:hAnsi="Cambria Math"/>
          <w:i/>
          <w:sz w:val="21"/>
        </w:rPr>
        <w:t>O &lt; 0.50</w:t>
      </w:r>
      <w:r>
        <w:rPr>
          <w:rFonts w:ascii="Calibri" w:hAnsi="Calibri"/>
          <w:b w:val="0"/>
          <w:i w:val="0"/>
          <w:sz w:val="21"/>
        </w:rPr>
        <w:t xml:space="preserve"> are abstained (</w:t>
      </w:r>
      <w:r>
        <w:rPr>
          <w:rFonts w:ascii="Consolas" w:hAnsi="Consolas"/>
          <w:color w:val="8B0000"/>
          <w:sz w:val="19"/>
        </w:rPr>
        <w:t>UNRESOLVED</w:t>
      </w:r>
      <w:r>
        <w:rPr>
          <w:rFonts w:ascii="Calibri" w:hAnsi="Calibri"/>
          <w:b w:val="0"/>
          <w:i w:val="0"/>
          <w:sz w:val="21"/>
        </w:rPr>
        <w:t>), preventing false alarms in noise-corrupted terrain (</w:t>
      </w:r>
      <w:r>
        <w:rPr>
          <w:rFonts w:ascii="Cambria Math" w:hAnsi="Cambria Math"/>
          <w:i/>
          <w:sz w:val="21"/>
        </w:rPr>
        <w:t>FP = 0</w:t>
      </w:r>
      <w:r>
        <w:rPr>
          <w:rFonts w:ascii="Calibri" w:hAnsi="Calibri"/>
          <w:b w:val="0"/>
          <w:i w:val="0"/>
          <w:sz w:val="21"/>
        </w:rPr>
        <w:t xml:space="preserve"> in the unresolved zone). Consequently, unobserved reference flood pixels count operationally as missed alerts (</w:t>
      </w:r>
      <w:r>
        <w:rPr>
          <w:rFonts w:ascii="Cambria Math" w:hAnsi="Cambria Math"/>
          <w:i/>
          <w:sz w:val="21"/>
        </w:rPr>
        <w:t>FN_{unres} = 39,348</w:t>
      </w:r>
      <w:r>
        <w:rPr>
          <w:rFonts w:ascii="Calibri" w:hAnsi="Calibri"/>
          <w:b w:val="0"/>
          <w:i w:val="0"/>
          <w:sz w:val="21"/>
        </w:rPr>
        <w:t xml:space="preserve"> pixels), and unobserved reference non-flood pixels count as non-alarms (</w:t>
      </w:r>
      <w:r>
        <w:rPr>
          <w:rFonts w:ascii="Cambria Math" w:hAnsi="Cambria Math"/>
          <w:i/>
          <w:sz w:val="21"/>
        </w:rPr>
        <w:t>TN_{unres} = 1,132,120</w:t>
      </w:r>
      <w:r>
        <w:rPr>
          <w:rFonts w:ascii="Calibri" w:hAnsi="Calibri"/>
          <w:b w:val="0"/>
          <w:i w:val="0"/>
          <w:sz w:val="21"/>
        </w:rPr>
        <w:t xml:space="preserve"> pixels). This exactly accounts for the complete tile sum of </w:t>
      </w:r>
      <w:r>
        <w:rPr>
          <w:rFonts w:ascii="Cambria Math" w:hAnsi="Cambria Math"/>
          <w:i/>
          <w:sz w:val="21"/>
        </w:rPr>
        <w:t>262,144</w:t>
      </w:r>
      <w:r>
        <w:rPr>
          <w:rFonts w:ascii="Calibri" w:hAnsi="Calibri"/>
          <w:b w:val="0"/>
          <w:i w:val="0"/>
          <w:sz w:val="21"/>
        </w:rPr>
        <w:t xml:space="preserve"> pixels per activation (</w:t>
      </w:r>
      <w:r>
        <w:rPr>
          <w:rFonts w:ascii="Cambria Math" w:hAnsi="Cambria Math"/>
          <w:i/>
          <w:sz w:val="21"/>
        </w:rPr>
        <w:t>TP = 2,706</w:t>
      </w:r>
      <w:r>
        <w:rPr>
          <w:rFonts w:ascii="Calibri" w:hAnsi="Calibri"/>
          <w:b w:val="0"/>
          <w:i w:val="0"/>
          <w:sz w:val="21"/>
        </w:rPr>
        <w:t xml:space="preserve">, </w:t>
      </w:r>
      <w:r>
        <w:rPr>
          <w:rFonts w:ascii="Cambria Math" w:hAnsi="Cambria Math"/>
          <w:i/>
          <w:sz w:val="21"/>
        </w:rPr>
        <w:t>FP = 104,016</w:t>
      </w:r>
      <w:r>
        <w:rPr>
          <w:rFonts w:ascii="Calibri" w:hAnsi="Calibri"/>
          <w:b w:val="0"/>
          <w:i w:val="0"/>
          <w:sz w:val="21"/>
        </w:rPr>
        <w:t xml:space="preserve">, </w:t>
      </w:r>
      <w:r>
        <w:rPr>
          <w:rFonts w:ascii="Cambria Math" w:hAnsi="Cambria Math"/>
          <w:i/>
          <w:sz w:val="21"/>
        </w:rPr>
        <w:t>FN = 90,265</w:t>
      </w:r>
      <w:r>
        <w:rPr>
          <w:rFonts w:ascii="Calibri" w:hAnsi="Calibri"/>
          <w:b w:val="0"/>
          <w:i w:val="0"/>
          <w:sz w:val="21"/>
        </w:rPr>
        <w:t xml:space="preserve">, </w:t>
      </w:r>
      <w:r>
        <w:rPr>
          <w:rFonts w:ascii="Cambria Math" w:hAnsi="Cambria Math"/>
          <w:i/>
          <w:sz w:val="21"/>
        </w:rPr>
        <w:t>TN = 1,900,165</w:t>
      </w:r>
      <w:r>
        <w:rPr>
          <w:rFonts w:ascii="Calibri" w:hAnsi="Calibri"/>
          <w:b w:val="0"/>
          <w:i w:val="0"/>
          <w:sz w:val="21"/>
        </w:rPr>
        <w:t xml:space="preserve">, Total </w:t>
      </w:r>
      <w:r>
        <w:rPr>
          <w:rFonts w:ascii="Cambria Math" w:hAnsi="Cambria Math"/>
          <w:i/>
          <w:sz w:val="21"/>
        </w:rPr>
        <w:t>= 2,097,152</w:t>
      </w:r>
      <w:r>
        <w:rPr>
          <w:rFonts w:ascii="Calibri" w:hAnsi="Calibri"/>
          <w:b w:val="0"/>
          <w:i w:val="0"/>
          <w:sz w:val="21"/>
        </w:rPr>
        <w:t>).</w:t>
      </w:r>
    </w:p>
    <w:p>
      <w:pPr>
        <w:pStyle w:val="ListBullet"/>
        <w:spacing w:before="20" w:after="40"/>
      </w:pPr>
      <w:r>
        <w:rPr>
          <w:rFonts w:ascii="Calibri" w:hAnsi="Calibri"/>
          <w:b/>
          <w:i w:val="0"/>
          <w:sz w:val="21"/>
        </w:rPr>
        <w:t>Strict Resolvable-Domain Accounting (O ≥ 0.50, 925,684 pixels, 44.14% coverage):</w:t>
      </w:r>
      <w:r>
        <w:rPr>
          <w:rFonts w:ascii="Calibri" w:hAnsi="Calibri"/>
          <w:b w:val="0"/>
          <w:i w:val="0"/>
          <w:sz w:val="21"/>
        </w:rPr>
        <w:t xml:space="preserve"> Within the resolvable domain, positive detections are identical (</w:t>
      </w:r>
      <w:r>
        <w:rPr>
          <w:rFonts w:ascii="Cambria Math" w:hAnsi="Cambria Math"/>
          <w:i/>
          <w:sz w:val="21"/>
        </w:rPr>
        <w:t>TP = 2,706</w:t>
      </w:r>
      <w:r>
        <w:rPr>
          <w:rFonts w:ascii="Calibri" w:hAnsi="Calibri"/>
          <w:b w:val="0"/>
          <w:i w:val="0"/>
          <w:sz w:val="21"/>
        </w:rPr>
        <w:t xml:space="preserve">, </w:t>
      </w:r>
      <w:r>
        <w:rPr>
          <w:rFonts w:ascii="Cambria Math" w:hAnsi="Cambria Math"/>
          <w:i/>
          <w:sz w:val="21"/>
        </w:rPr>
        <w:t>FP = 104,016</w:t>
      </w:r>
      <w:r>
        <w:rPr>
          <w:rFonts w:ascii="Calibri" w:hAnsi="Calibri"/>
          <w:b w:val="0"/>
          <w:i w:val="0"/>
          <w:sz w:val="21"/>
        </w:rPr>
        <w:t xml:space="preserve">). Resolvable false negatives are </w:t>
      </w:r>
      <w:r>
        <w:rPr>
          <w:rFonts w:ascii="Cambria Math" w:hAnsi="Cambria Math"/>
          <w:i/>
          <w:sz w:val="21"/>
        </w:rPr>
        <w:t>FN_{res} = 50,917</w:t>
      </w:r>
      <w:r>
        <w:rPr>
          <w:rFonts w:ascii="Calibri" w:hAnsi="Calibri"/>
          <w:b w:val="0"/>
          <w:i w:val="0"/>
          <w:sz w:val="21"/>
        </w:rPr>
        <w:t xml:space="preserve"> and resolvable true negatives are </w:t>
      </w:r>
      <w:r>
        <w:rPr>
          <w:rFonts w:ascii="Cambria Math" w:hAnsi="Cambria Math"/>
          <w:i/>
          <w:sz w:val="21"/>
        </w:rPr>
        <w:t>TN_{res} = 768,045</w:t>
      </w:r>
      <w:r>
        <w:rPr>
          <w:rFonts w:ascii="Calibri" w:hAnsi="Calibri"/>
          <w:b w:val="0"/>
          <w:i w:val="0"/>
          <w:sz w:val="21"/>
        </w:rPr>
        <w:t xml:space="preserve"> (</w:t>
      </w:r>
      <w:r>
        <w:rPr>
          <w:rFonts w:ascii="Cambria Math" w:hAnsi="Cambria Math"/>
          <w:i/>
          <w:sz w:val="21"/>
        </w:rPr>
        <w:t>2,706 + 104,016 + 50,917 + 768,045 = 925,684</w:t>
      </w:r>
      <w:r>
        <w:rPr>
          <w:rFonts w:ascii="Calibri" w:hAnsi="Calibri"/>
          <w:b w:val="0"/>
          <w:i w:val="0"/>
          <w:sz w:val="21"/>
        </w:rPr>
        <w:t xml:space="preserve">). In this resolvable domain, precision is </w:t>
      </w:r>
      <w:r>
        <w:rPr>
          <w:rFonts w:ascii="Cambria Math" w:hAnsi="Cambria Math"/>
          <w:i/>
          <w:sz w:val="21"/>
        </w:rPr>
        <w:t>2.54%</w:t>
      </w:r>
      <w:r>
        <w:rPr>
          <w:rFonts w:ascii="Calibri" w:hAnsi="Calibri"/>
          <w:b w:val="0"/>
          <w:i w:val="0"/>
          <w:sz w:val="21"/>
        </w:rPr>
        <w:t xml:space="preserve">, recall is </w:t>
      </w:r>
      <w:r>
        <w:rPr>
          <w:rFonts w:ascii="Cambria Math" w:hAnsi="Cambria Math"/>
          <w:i/>
          <w:sz w:val="21"/>
        </w:rPr>
        <w:t>5.05%</w:t>
      </w:r>
      <w:r>
        <w:rPr>
          <w:rFonts w:ascii="Calibri" w:hAnsi="Calibri"/>
          <w:b w:val="0"/>
          <w:i w:val="0"/>
          <w:sz w:val="21"/>
        </w:rPr>
        <w:t xml:space="preserve">, F1-score is </w:t>
      </w:r>
      <w:r>
        <w:rPr>
          <w:rFonts w:ascii="Cambria Math" w:hAnsi="Cambria Math"/>
          <w:i/>
          <w:sz w:val="21"/>
        </w:rPr>
        <w:t>0.0338</w:t>
      </w:r>
      <w:r>
        <w:rPr>
          <w:rFonts w:ascii="Calibri" w:hAnsi="Calibri"/>
          <w:b w:val="0"/>
          <w:i w:val="0"/>
          <w:sz w:val="21"/>
        </w:rPr>
        <w:t xml:space="preserve">, IoU is </w:t>
      </w:r>
      <w:r>
        <w:rPr>
          <w:rFonts w:ascii="Cambria Math" w:hAnsi="Cambria Math"/>
          <w:i/>
          <w:sz w:val="21"/>
        </w:rPr>
        <w:t>0.0172</w:t>
      </w:r>
      <w:r>
        <w:rPr>
          <w:rFonts w:ascii="Calibri" w:hAnsi="Calibri"/>
          <w:b w:val="0"/>
          <w:i w:val="0"/>
          <w:sz w:val="21"/>
        </w:rPr>
        <w:t xml:space="preserve">, and false positive area is reduced by </w:t>
      </w:r>
      <w:r>
        <w:rPr>
          <w:rFonts w:ascii="Cambria Math" w:hAnsi="Cambria Math"/>
          <w:i/>
          <w:sz w:val="21"/>
        </w:rPr>
        <w:t>35.8%</w:t>
      </w:r>
      <w:r>
        <w:rPr>
          <w:rFonts w:ascii="Calibri" w:hAnsi="Calibri"/>
          <w:b w:val="0"/>
          <w:i w:val="0"/>
          <w:sz w:val="21"/>
        </w:rPr>
        <w:t xml:space="preserve"> relative to unconstrained candidate detection (</w:t>
      </w:r>
      <w:r>
        <w:rPr>
          <w:rFonts w:ascii="Cambria Math" w:hAnsi="Cambria Math"/>
          <w:i/>
          <w:sz w:val="21"/>
        </w:rPr>
        <w:t>162,000 → 104,016</w:t>
      </w:r>
      <w:r>
        <w:rPr>
          <w:rFonts w:ascii="Calibri" w:hAnsi="Calibri"/>
          <w:b w:val="0"/>
          <w:i w:val="0"/>
          <w:sz w:val="21"/>
        </w:rPr>
        <w:t xml:space="preserve"> FP pixels).</w:t>
      </w:r>
    </w:p>
    <w:p>
      <w:pPr>
        <w:pStyle w:val="ListBullet"/>
        <w:spacing w:before="20" w:after="40"/>
      </w:pPr>
      <w:r>
        <w:rPr>
          <w:rFonts w:ascii="Calibri" w:hAnsi="Calibri"/>
          <w:b/>
          <w:i w:val="0"/>
          <w:sz w:val="21"/>
        </w:rPr>
        <w:t>Exact Arithmetic Reconciliation:</w:t>
      </w:r>
    </w:p>
    <w:p>
      <w:pPr>
        <w:spacing w:before="40" w:after="80" w:line="276" w:lineRule="auto"/>
      </w:pPr>
      <w:r>
        <w:rPr>
          <w:rFonts w:ascii="Calibri" w:hAnsi="Calibri"/>
          <w:b w:val="0"/>
          <w:i w:val="0"/>
          <w:sz w:val="21"/>
        </w:rPr>
        <w:t xml:space="preserve">     </w:t>
      </w:r>
      <w:r>
        <w:rPr>
          <w:rFonts w:ascii="Cambria Math" w:hAnsi="Cambria Math"/>
          <w:i/>
          <w:sz w:val="21"/>
        </w:rPr>
        <w:t>FN = FN_{res} + FN_{unres} = 50,917 + 39,348 = 90,265    (Matches Table 2b exactly)</w:t>
      </w:r>
      <w:r>
        <w:rPr>
          <w:rFonts w:ascii="Calibri" w:hAnsi="Calibri"/>
          <w:b w:val="0"/>
          <w:i w:val="0"/>
          <w:sz w:val="21"/>
        </w:rPr>
      </w:r>
    </w:p>
    <w:p>
      <w:pPr>
        <w:spacing w:before="40" w:after="80" w:line="276" w:lineRule="auto"/>
      </w:pPr>
      <w:r>
        <w:rPr>
          <w:rFonts w:ascii="Calibri" w:hAnsi="Calibri"/>
          <w:b w:val="0"/>
          <w:i w:val="0"/>
          <w:sz w:val="21"/>
        </w:rPr>
        <w:t xml:space="preserve">     </w:t>
      </w:r>
      <w:r>
        <w:rPr>
          <w:rFonts w:ascii="Cambria Math" w:hAnsi="Cambria Math"/>
          <w:i/>
          <w:sz w:val="21"/>
        </w:rPr>
        <w:t>TN = TN_{res} + TN_{unres} = 768,045 + 1,132,120 = 1,900,165    (Matches Table 2b exactly)</w:t>
      </w:r>
      <w:r>
        <w:rPr>
          <w:rFonts w:ascii="Calibri" w:hAnsi="Calibri"/>
          <w:b w:val="0"/>
          <w:i w:val="0"/>
          <w:sz w:val="21"/>
        </w:rPr>
      </w:r>
    </w:p>
    <w:p>
      <w:pPr>
        <w:spacing w:before="40" w:after="80" w:line="276" w:lineRule="auto"/>
      </w:pPr>
      <w:r>
        <w:rPr>
          <w:rFonts w:ascii="Calibri" w:hAnsi="Calibri"/>
          <w:b w:val="0"/>
          <w:i w:val="0"/>
          <w:sz w:val="21"/>
        </w:rPr>
        <w:t xml:space="preserve">     </w:t>
      </w:r>
      <w:r>
        <w:rPr>
          <w:rFonts w:ascii="Cambria Math" w:hAnsi="Cambria Math"/>
          <w:i/>
          <w:sz w:val="21"/>
        </w:rPr>
        <w:t>TP + FP + FN + TN = 2,706 + 104,016 + 90,265 + 1,900,165 = 2,097,152    (Matches  8 × 262,144  exactly)</w:t>
      </w:r>
      <w:r>
        <w:rPr>
          <w:rFonts w:ascii="Calibri" w:hAnsi="Calibri"/>
          <w:b w:val="0"/>
          <w:i w:val="0"/>
          <w:sz w:val="21"/>
        </w:rPr>
      </w:r>
    </w:p>
    <w:p>
      <w:pPr>
        <w:spacing w:before="20" w:after="40"/>
        <w:ind w:left="432" w:hanging="432"/>
      </w:pPr>
      <w:r>
        <w:rPr>
          <w:rFonts w:ascii="Calibri" w:hAnsi="Calibri"/>
          <w:b/>
          <w:sz w:val="21"/>
        </w:rPr>
        <w:t xml:space="preserve">2. </w:t>
      </w:r>
      <w:r>
        <w:rPr>
          <w:rFonts w:ascii="Calibri" w:hAnsi="Calibri"/>
          <w:b/>
          <w:i w:val="0"/>
          <w:sz w:val="21"/>
        </w:rPr>
        <w:t>Audit Issue B: Temporal Generalization Headline &amp; Date Synchronization:</w:t>
      </w:r>
    </w:p>
    <w:p>
      <w:pPr>
        <w:pStyle w:val="ListBullet"/>
        <w:spacing w:before="20" w:after="40"/>
      </w:pPr>
      <w:r>
        <w:rPr>
          <w:rFonts w:ascii="Calibri" w:hAnsi="Calibri"/>
          <w:b/>
          <w:i w:val="0"/>
          <w:sz w:val="21"/>
        </w:rPr>
        <w:t>Primary Independent Temporal Design Leads Abstract &amp; Conclusions:</w:t>
      </w:r>
      <w:r>
        <w:rPr>
          <w:rFonts w:ascii="Calibri" w:hAnsi="Calibri"/>
          <w:b w:val="0"/>
          <w:i w:val="0"/>
          <w:sz w:val="21"/>
        </w:rPr>
        <w:t xml:space="preserve"> Table 5 defines the primary independent temporal validation across the eight held-out validation events partitioned chronologically: Modern Era (</w:t>
      </w:r>
      <w:r>
        <w:rPr>
          <w:rFonts w:ascii="Cambria Math" w:hAnsi="Cambria Math"/>
          <w:i/>
          <w:sz w:val="21"/>
        </w:rPr>
        <w:t>2020–2021</w:t>
      </w:r>
      <w:r>
        <w:rPr>
          <w:rFonts w:ascii="Calibri" w:hAnsi="Calibri"/>
          <w:b w:val="0"/>
          <w:i w:val="0"/>
          <w:sz w:val="21"/>
        </w:rPr>
        <w:t xml:space="preserve">, </w:t>
      </w:r>
      <w:r>
        <w:rPr>
          <w:rFonts w:ascii="Cambria Math" w:hAnsi="Cambria Math"/>
          <w:i/>
          <w:sz w:val="21"/>
        </w:rPr>
        <w:t>N=5</w:t>
      </w:r>
      <w:r>
        <w:rPr>
          <w:rFonts w:ascii="Calibri" w:hAnsi="Calibri"/>
          <w:b w:val="0"/>
          <w:i w:val="0"/>
          <w:sz w:val="21"/>
        </w:rPr>
        <w:t xml:space="preserve">; macro PR-AUC </w:t>
      </w:r>
      <w:r>
        <w:rPr>
          <w:rFonts w:ascii="Cambria Math" w:hAnsi="Cambria Math"/>
          <w:i/>
          <w:sz w:val="21"/>
        </w:rPr>
        <w:t>0.05558 → 0.06838</w:t>
      </w:r>
      <w:r>
        <w:rPr>
          <w:rFonts w:ascii="Calibri" w:hAnsi="Calibri"/>
          <w:b w:val="0"/>
          <w:i w:val="0"/>
          <w:sz w:val="21"/>
        </w:rPr>
        <w:t xml:space="preserve">, </w:t>
      </w:r>
      <w:r>
        <w:rPr>
          <w:rFonts w:ascii="Cambria Math" w:hAnsi="Cambria Math"/>
          <w:i/>
          <w:sz w:val="21"/>
        </w:rPr>
        <w:t>+23.0%</w:t>
      </w:r>
      <w:r>
        <w:rPr>
          <w:rFonts w:ascii="Calibri" w:hAnsi="Calibri"/>
          <w:b w:val="0"/>
          <w:i w:val="0"/>
          <w:sz w:val="21"/>
        </w:rPr>
        <w:t xml:space="preserve"> gain, skill ratio </w:t>
      </w:r>
      <w:r>
        <w:rPr>
          <w:rFonts w:ascii="Cambria Math" w:hAnsi="Cambria Math"/>
          <w:i/>
          <w:sz w:val="21"/>
        </w:rPr>
        <w:t>2.94× → 3.84×</w:t>
      </w:r>
      <w:r>
        <w:rPr>
          <w:rFonts w:ascii="Calibri" w:hAnsi="Calibri"/>
          <w:b w:val="0"/>
          <w:i w:val="0"/>
          <w:sz w:val="21"/>
        </w:rPr>
        <w:t>) and Historical Era (</w:t>
      </w:r>
      <w:r>
        <w:rPr>
          <w:rFonts w:ascii="Cambria Math" w:hAnsi="Cambria Math"/>
          <w:i/>
          <w:sz w:val="21"/>
        </w:rPr>
        <w:t>2018–2019</w:t>
      </w:r>
      <w:r>
        <w:rPr>
          <w:rFonts w:ascii="Calibri" w:hAnsi="Calibri"/>
          <w:b w:val="0"/>
          <w:i w:val="0"/>
          <w:sz w:val="21"/>
        </w:rPr>
        <w:t xml:space="preserve">, </w:t>
      </w:r>
      <w:r>
        <w:rPr>
          <w:rFonts w:ascii="Cambria Math" w:hAnsi="Cambria Math"/>
          <w:i/>
          <w:sz w:val="21"/>
        </w:rPr>
        <w:t>N=3</w:t>
      </w:r>
      <w:r>
        <w:rPr>
          <w:rFonts w:ascii="Calibri" w:hAnsi="Calibri"/>
          <w:b w:val="0"/>
          <w:i w:val="0"/>
          <w:sz w:val="21"/>
        </w:rPr>
        <w:t xml:space="preserve">; macro PR-AUC </w:t>
      </w:r>
      <w:r>
        <w:rPr>
          <w:rFonts w:ascii="Cambria Math" w:hAnsi="Cambria Math"/>
          <w:i/>
          <w:sz w:val="21"/>
        </w:rPr>
        <w:t>0.09327 → 0.12647</w:t>
      </w:r>
      <w:r>
        <w:rPr>
          <w:rFonts w:ascii="Calibri" w:hAnsi="Calibri"/>
          <w:b w:val="0"/>
          <w:i w:val="0"/>
          <w:sz w:val="21"/>
        </w:rPr>
        <w:t xml:space="preserve">, </w:t>
      </w:r>
      <w:r>
        <w:rPr>
          <w:rFonts w:ascii="Cambria Math" w:hAnsi="Cambria Math"/>
          <w:i/>
          <w:sz w:val="21"/>
        </w:rPr>
        <w:t>+35.6%</w:t>
      </w:r>
      <w:r>
        <w:rPr>
          <w:rFonts w:ascii="Calibri" w:hAnsi="Calibri"/>
          <w:b w:val="0"/>
          <w:i w:val="0"/>
          <w:sz w:val="21"/>
        </w:rPr>
        <w:t xml:space="preserve"> gain, skill ratio </w:t>
      </w:r>
      <w:r>
        <w:rPr>
          <w:rFonts w:ascii="Cambria Math" w:hAnsi="Cambria Math"/>
          <w:i/>
          <w:sz w:val="21"/>
        </w:rPr>
        <w:t>2.01× → 2.84×</w:t>
      </w:r>
      <w:r>
        <w:rPr>
          <w:rFonts w:ascii="Calibri" w:hAnsi="Calibri"/>
          <w:b w:val="0"/>
          <w:i w:val="0"/>
          <w:sz w:val="21"/>
        </w:rPr>
        <w:t>). The higher absolute PR-AUC in the historical cohort is explicitly explained by higher baseline positive prevalence (</w:t>
      </w:r>
      <w:r>
        <w:rPr>
          <w:rFonts w:ascii="Cambria Math" w:hAnsi="Cambria Math"/>
          <w:i/>
          <w:sz w:val="21"/>
        </w:rPr>
        <w:t>π̄ = 5.70%</w:t>
      </w:r>
      <w:r>
        <w:rPr>
          <w:rFonts w:ascii="Calibri" w:hAnsi="Calibri"/>
          <w:b w:val="0"/>
          <w:i w:val="0"/>
          <w:sz w:val="21"/>
        </w:rPr>
        <w:t xml:space="preserve"> vs </w:t>
      </w:r>
      <w:r>
        <w:rPr>
          <w:rFonts w:ascii="Cambria Math" w:hAnsi="Cambria Math"/>
          <w:i/>
          <w:sz w:val="21"/>
        </w:rPr>
        <w:t>3.67%</w:t>
      </w:r>
      <w:r>
        <w:rPr>
          <w:rFonts w:ascii="Calibri" w:hAnsi="Calibri"/>
          <w:b w:val="0"/>
          <w:i w:val="0"/>
          <w:sz w:val="21"/>
        </w:rPr>
        <w:t>). Both eras demonstrate consistent, above-chance skill ratios.</w:t>
      </w:r>
    </w:p>
    <w:p>
      <w:pPr>
        <w:pStyle w:val="ListBullet"/>
        <w:spacing w:before="20" w:after="40"/>
      </w:pPr>
      <w:r>
        <w:rPr>
          <w:rFonts w:ascii="Calibri" w:hAnsi="Calibri"/>
          <w:b/>
          <w:i w:val="0"/>
          <w:sz w:val="21"/>
        </w:rPr>
        <w:t>Operational Replay Explicitly Designated as Secondary:</w:t>
      </w:r>
      <w:r>
        <w:rPr>
          <w:rFonts w:ascii="Calibri" w:hAnsi="Calibri"/>
          <w:b w:val="0"/>
          <w:i w:val="0"/>
          <w:sz w:val="21"/>
        </w:rPr>
        <w:t xml:space="preserve"> The </w:t>
      </w:r>
      <w:r>
        <w:rPr>
          <w:rFonts w:ascii="Cambria Math" w:hAnsi="Cambria Math"/>
          <w:i/>
          <w:sz w:val="21"/>
        </w:rPr>
        <w:t>91.9%</w:t>
      </w:r>
      <w:r>
        <w:rPr>
          <w:rFonts w:ascii="Calibri" w:hAnsi="Calibri"/>
          <w:b w:val="0"/>
          <w:i w:val="0"/>
          <w:sz w:val="21"/>
        </w:rPr>
        <w:t xml:space="preserve"> degradation reduction across the six-modern versus two-historical streaming activations is explicitly designated as a secondary operational benchmark that includes development events. It is no longer portrayed as independent validation in the abstract or conclusions.</w:t>
      </w:r>
    </w:p>
    <w:p>
      <w:pPr>
        <w:pStyle w:val="ListBullet"/>
        <w:spacing w:before="20" w:after="40"/>
      </w:pPr>
      <w:r>
        <w:rPr>
          <w:rFonts w:ascii="Calibri" w:hAnsi="Calibri"/>
          <w:b/>
          <w:i w:val="0"/>
          <w:sz w:val="21"/>
        </w:rPr>
        <w:t>Date Synchronization:</w:t>
      </w:r>
      <w:r>
        <w:rPr>
          <w:rFonts w:ascii="Calibri" w:hAnsi="Calibri"/>
          <w:b w:val="0"/>
          <w:i w:val="0"/>
          <w:sz w:val="21"/>
        </w:rPr>
        <w:t xml:space="preserve"> All dates across Table 1, Table 5, and text have been synchronized to satellite event acquisition timestamps: EMSR445 is July 2020 (S1 scene 2020-07-15), EMSR567 is March 2021 (S1 scene 2021-03-24), EMSR357 is May 2019 (S1 scene 2019-05-10), EMSR286 is May 2018 (S1 scene 2018-05-21), and EMSR348 is March 2019 (S1 scene 2019-03-20).</w:t>
      </w:r>
    </w:p>
    <w:p>
      <w:pPr>
        <w:pStyle w:val="ListBullet"/>
        <w:spacing w:before="20" w:after="40"/>
      </w:pPr>
      <w:r>
        <w:rPr>
          <w:rFonts w:ascii="Calibri" w:hAnsi="Calibri"/>
          <w:b/>
          <w:i w:val="0"/>
          <w:sz w:val="21"/>
        </w:rPr>
        <w:t>Table 5 Formatting:</w:t>
      </w:r>
      <w:r>
        <w:rPr>
          <w:rFonts w:ascii="Calibri" w:hAnsi="Calibri"/>
          <w:b w:val="0"/>
          <w:i w:val="0"/>
          <w:sz w:val="21"/>
        </w:rPr>
        <w:t xml:space="preserve"> HTML </w:t>
      </w:r>
      <w:r>
        <w:rPr>
          <w:rFonts w:ascii="Consolas" w:hAnsi="Consolas"/>
          <w:color w:val="8B0000"/>
          <w:sz w:val="19"/>
        </w:rPr>
        <w:t>&lt;br&gt;</w:t>
      </w:r>
      <w:r>
        <w:rPr>
          <w:rFonts w:ascii="Calibri" w:hAnsi="Calibri"/>
          <w:b w:val="0"/>
          <w:i w:val="0"/>
          <w:sz w:val="21"/>
        </w:rPr>
        <w:t xml:space="preserve"> tags were removed from Table 5 to ensure clean Word document rendering.</w:t>
      </w:r>
    </w:p>
    <w:p>
      <w:pPr>
        <w:spacing w:before="20" w:after="40"/>
        <w:ind w:left="432" w:hanging="432"/>
      </w:pPr>
      <w:r>
        <w:rPr>
          <w:rFonts w:ascii="Calibri" w:hAnsi="Calibri"/>
          <w:b/>
          <w:sz w:val="21"/>
        </w:rPr>
        <w:t xml:space="preserve">3. </w:t>
      </w:r>
      <w:r>
        <w:rPr>
          <w:rFonts w:ascii="Calibri" w:hAnsi="Calibri"/>
          <w:b/>
          <w:i w:val="0"/>
          <w:sz w:val="21"/>
        </w:rPr>
        <w:t>Audit Issue C: Figure 3 Raster Pixel Counts Reconciled with Table 2a:</w:t>
      </w:r>
    </w:p>
    <w:p>
      <w:pPr>
        <w:pStyle w:val="ListBullet"/>
        <w:spacing w:before="20" w:after="40"/>
      </w:pPr>
      <w:r>
        <w:rPr>
          <w:rFonts w:ascii="Calibri" w:hAnsi="Calibri"/>
          <w:b w:val="0"/>
          <w:i w:val="0"/>
          <w:sz w:val="21"/>
        </w:rPr>
        <w:t xml:space="preserve">When rasterizing vector shapefiles onto the </w:t>
      </w:r>
      <w:r>
        <w:rPr>
          <w:rFonts w:ascii="Cambria Math" w:hAnsi="Cambria Math"/>
          <w:i/>
          <w:sz w:val="21"/>
        </w:rPr>
        <w:t>512 × 512</w:t>
      </w:r>
      <w:r>
        <w:rPr>
          <w:rFonts w:ascii="Calibri" w:hAnsi="Calibri"/>
          <w:b w:val="0"/>
          <w:i w:val="0"/>
          <w:sz w:val="21"/>
        </w:rPr>
        <w:t xml:space="preserve"> evaluation grid with the exact bounding boxes from the frozen manifest, the positive pixel counts match Table 2a to the exact integer:</w:t>
      </w:r>
    </w:p>
    <w:p>
      <w:pPr>
        <w:pStyle w:val="ListBullet"/>
        <w:spacing w:before="20" w:after="40"/>
      </w:pPr>
      <w:r>
        <w:rPr>
          <w:rFonts w:ascii="Calibri" w:hAnsi="Calibri"/>
          <w:b w:val="0"/>
          <w:i w:val="0"/>
          <w:sz w:val="21"/>
        </w:rPr>
        <w:t xml:space="preserve">EMSR629 (Pakistan Indus): </w:t>
      </w:r>
      <w:r>
        <w:rPr>
          <w:rFonts w:ascii="Calibri" w:hAnsi="Calibri"/>
          <w:b/>
          <w:i w:val="0"/>
          <w:sz w:val="21"/>
        </w:rPr>
        <w:t>134,923 pixels</w:t>
      </w:r>
      <w:r>
        <w:rPr>
          <w:rFonts w:ascii="Calibri" w:hAnsi="Calibri"/>
          <w:b w:val="0"/>
          <w:i w:val="0"/>
          <w:sz w:val="21"/>
        </w:rPr>
        <w:t xml:space="preserve"> (</w:t>
      </w:r>
      <w:r>
        <w:rPr>
          <w:rFonts w:ascii="Cambria Math" w:hAnsi="Cambria Math"/>
          <w:i/>
          <w:sz w:val="21"/>
        </w:rPr>
        <w:t>9,690</w:t>
      </w:r>
      <w:r>
        <w:rPr>
          <w:rFonts w:ascii="Calibri" w:hAnsi="Calibri"/>
          <w:b w:val="0"/>
          <w:i w:val="0"/>
          <w:sz w:val="21"/>
        </w:rPr>
        <w:t xml:space="preserve"> reference polygons; matches Table 2a </w:t>
      </w:r>
      <w:r>
        <w:rPr>
          <w:rFonts w:ascii="Cambria Math" w:hAnsi="Cambria Math"/>
          <w:i/>
          <w:sz w:val="21"/>
        </w:rPr>
        <w:t>134,923</w:t>
      </w:r>
      <w:r>
        <w:rPr>
          <w:rFonts w:ascii="Calibri" w:hAnsi="Calibri"/>
          <w:b w:val="0"/>
          <w:i w:val="0"/>
          <w:sz w:val="21"/>
        </w:rPr>
        <w:t>)</w:t>
      </w:r>
    </w:p>
    <w:p>
      <w:pPr>
        <w:pStyle w:val="ListBullet"/>
        <w:spacing w:before="20" w:after="40"/>
      </w:pPr>
      <w:r>
        <w:rPr>
          <w:rFonts w:ascii="Calibri" w:hAnsi="Calibri"/>
          <w:b w:val="0"/>
          <w:i w:val="0"/>
          <w:sz w:val="21"/>
        </w:rPr>
        <w:t xml:space="preserve">EMSR468 (Italy Tanaro): </w:t>
      </w:r>
      <w:r>
        <w:rPr>
          <w:rFonts w:ascii="Calibri" w:hAnsi="Calibri"/>
          <w:b/>
          <w:i w:val="0"/>
          <w:sz w:val="21"/>
        </w:rPr>
        <w:t>1,529 pixels</w:t>
      </w:r>
      <w:r>
        <w:rPr>
          <w:rFonts w:ascii="Calibri" w:hAnsi="Calibri"/>
          <w:b w:val="0"/>
          <w:i w:val="0"/>
          <w:sz w:val="21"/>
        </w:rPr>
        <w:t xml:space="preserve"> (</w:t>
      </w:r>
      <w:r>
        <w:rPr>
          <w:rFonts w:ascii="Cambria Math" w:hAnsi="Cambria Math"/>
          <w:i/>
          <w:sz w:val="21"/>
        </w:rPr>
        <w:t>172</w:t>
      </w:r>
      <w:r>
        <w:rPr>
          <w:rFonts w:ascii="Calibri" w:hAnsi="Calibri"/>
          <w:b w:val="0"/>
          <w:i w:val="0"/>
          <w:sz w:val="21"/>
        </w:rPr>
        <w:t xml:space="preserve"> reference polygons; matches Table 2a </w:t>
      </w:r>
      <w:r>
        <w:rPr>
          <w:rFonts w:ascii="Cambria Math" w:hAnsi="Cambria Math"/>
          <w:i/>
          <w:sz w:val="21"/>
        </w:rPr>
        <w:t>1,529</w:t>
      </w:r>
      <w:r>
        <w:rPr>
          <w:rFonts w:ascii="Calibri" w:hAnsi="Calibri"/>
          <w:b w:val="0"/>
          <w:i w:val="0"/>
          <w:sz w:val="21"/>
        </w:rPr>
        <w:t>)</w:t>
      </w:r>
    </w:p>
    <w:p>
      <w:pPr>
        <w:pStyle w:val="ListBullet"/>
        <w:spacing w:before="20" w:after="40"/>
      </w:pPr>
      <w:r>
        <w:rPr>
          <w:rFonts w:ascii="Calibri" w:hAnsi="Calibri"/>
          <w:b w:val="0"/>
          <w:i w:val="0"/>
          <w:sz w:val="21"/>
        </w:rPr>
        <w:t xml:space="preserve">EMSR567 (Australia Mary): </w:t>
      </w:r>
      <w:r>
        <w:rPr>
          <w:rFonts w:ascii="Calibri" w:hAnsi="Calibri"/>
          <w:b/>
          <w:i w:val="0"/>
          <w:sz w:val="21"/>
        </w:rPr>
        <w:t>37,258 pixels</w:t>
      </w:r>
      <w:r>
        <w:rPr>
          <w:rFonts w:ascii="Calibri" w:hAnsi="Calibri"/>
          <w:b w:val="0"/>
          <w:i w:val="0"/>
          <w:sz w:val="21"/>
        </w:rPr>
        <w:t xml:space="preserve"> (</w:t>
      </w:r>
      <w:r>
        <w:rPr>
          <w:rFonts w:ascii="Cambria Math" w:hAnsi="Cambria Math"/>
          <w:i/>
          <w:sz w:val="21"/>
        </w:rPr>
        <w:t>42</w:t>
      </w:r>
      <w:r>
        <w:rPr>
          <w:rFonts w:ascii="Calibri" w:hAnsi="Calibri"/>
          <w:b w:val="0"/>
          <w:i w:val="0"/>
          <w:sz w:val="21"/>
        </w:rPr>
        <w:t xml:space="preserve"> reference polygons; matches Table 2a </w:t>
      </w:r>
      <w:r>
        <w:rPr>
          <w:rFonts w:ascii="Cambria Math" w:hAnsi="Cambria Math"/>
          <w:i/>
          <w:sz w:val="21"/>
        </w:rPr>
        <w:t>37,258</w:t>
      </w:r>
      <w:r>
        <w:rPr>
          <w:rFonts w:ascii="Calibri" w:hAnsi="Calibri"/>
          <w:b w:val="0"/>
          <w:i w:val="0"/>
          <w:sz w:val="21"/>
        </w:rPr>
        <w:t>)</w:t>
      </w:r>
    </w:p>
    <w:p>
      <w:pPr>
        <w:pStyle w:val="ListBullet"/>
        <w:spacing w:before="20" w:after="40"/>
      </w:pPr>
      <w:r>
        <w:rPr>
          <w:rFonts w:ascii="Calibri" w:hAnsi="Calibri"/>
          <w:b w:val="0"/>
          <w:i w:val="0"/>
          <w:sz w:val="21"/>
        </w:rPr>
        <w:t>Figure 3 was re-rendered with these exact bounding boxes, and all text and captions were updated to match.</w:t>
      </w:r>
    </w:p>
    <w:p>
      <w:pPr>
        <w:spacing w:before="20" w:after="40"/>
        <w:ind w:left="432" w:hanging="432"/>
      </w:pPr>
      <w:r>
        <w:rPr>
          <w:rFonts w:ascii="Calibri" w:hAnsi="Calibri"/>
          <w:b/>
          <w:sz w:val="21"/>
        </w:rPr>
        <w:t xml:space="preserve">4. </w:t>
      </w:r>
      <w:r>
        <w:rPr>
          <w:rFonts w:ascii="Calibri" w:hAnsi="Calibri"/>
          <w:b/>
          <w:i w:val="0"/>
          <w:sz w:val="21"/>
        </w:rPr>
        <w:t>Audit Issue D: Baseline Comparisons at Matched Coverage (Table 4):</w:t>
      </w:r>
    </w:p>
    <w:p>
      <w:pPr>
        <w:pStyle w:val="ListBullet"/>
        <w:spacing w:before="20" w:after="40"/>
      </w:pPr>
      <w:r>
        <w:rPr>
          <w:rFonts w:ascii="Calibri" w:hAnsi="Calibri"/>
          <w:b w:val="0"/>
          <w:i w:val="0"/>
          <w:sz w:val="21"/>
        </w:rPr>
        <w:t>Table 4 has been restructured into two distinct panels: Panel A evaluates unconstrained full-domain models (</w:t>
      </w:r>
      <w:r>
        <w:rPr>
          <w:rFonts w:ascii="Cambria Math" w:hAnsi="Cambria Math"/>
          <w:i/>
          <w:sz w:val="21"/>
        </w:rPr>
        <w:t>100%</w:t>
      </w:r>
      <w:r>
        <w:rPr>
          <w:rFonts w:ascii="Calibri" w:hAnsi="Calibri"/>
          <w:b w:val="0"/>
          <w:i w:val="0"/>
          <w:sz w:val="21"/>
        </w:rPr>
        <w:t xml:space="preserve"> coverage), while Panel B benchmarks all models matched at the exact operating coverage of </w:t>
      </w:r>
      <w:r>
        <w:rPr>
          <w:rFonts w:ascii="Cambria Math" w:hAnsi="Cambria Math"/>
          <w:i/>
          <w:sz w:val="21"/>
        </w:rPr>
        <w:t>44.14%</w:t>
      </w:r>
      <w:r>
        <w:rPr>
          <w:rFonts w:ascii="Calibri" w:hAnsi="Calibri"/>
          <w:b w:val="0"/>
          <w:i w:val="0"/>
          <w:sz w:val="21"/>
        </w:rPr>
        <w:t xml:space="preserve"> (</w:t>
      </w:r>
      <w:r>
        <w:rPr>
          <w:rFonts w:ascii="Cambria Math" w:hAnsi="Cambria Math"/>
          <w:i/>
          <w:sz w:val="21"/>
        </w:rPr>
        <w:t>925,684</w:t>
      </w:r>
      <w:r>
        <w:rPr>
          <w:rFonts w:ascii="Calibri" w:hAnsi="Calibri"/>
          <w:b w:val="0"/>
          <w:i w:val="0"/>
          <w:sz w:val="21"/>
        </w:rPr>
        <w:t xml:space="preserve"> pixels).</w:t>
      </w:r>
    </w:p>
    <w:p>
      <w:pPr>
        <w:pStyle w:val="ListBullet"/>
        <w:spacing w:before="20" w:after="40"/>
      </w:pPr>
      <w:r>
        <w:rPr>
          <w:rFonts w:ascii="Calibri" w:hAnsi="Calibri"/>
          <w:b w:val="0"/>
          <w:i w:val="0"/>
          <w:sz w:val="21"/>
        </w:rPr>
        <w:t>Panel B includes Baseline 2 (SAR change detection) with random spatial retention (</w:t>
      </w:r>
      <w:r>
        <w:rPr>
          <w:rFonts w:ascii="Cambria Math" w:hAnsi="Cambria Math"/>
          <w:i/>
          <w:sz w:val="21"/>
        </w:rPr>
        <w:t>0.0621</w:t>
      </w:r>
      <w:r>
        <w:rPr>
          <w:rFonts w:ascii="Calibri" w:hAnsi="Calibri"/>
          <w:b w:val="0"/>
          <w:i w:val="0"/>
          <w:sz w:val="21"/>
        </w:rPr>
        <w:t xml:space="preserve"> PR-AUC) and with telemetry valid mask (</w:t>
      </w:r>
      <w:r>
        <w:rPr>
          <w:rFonts w:ascii="Cambria Math" w:hAnsi="Cambria Math"/>
          <w:i/>
          <w:sz w:val="21"/>
        </w:rPr>
        <w:t>0.0635</w:t>
      </w:r>
      <w:r>
        <w:rPr>
          <w:rFonts w:ascii="Calibri" w:hAnsi="Calibri"/>
          <w:b w:val="0"/>
          <w:i w:val="0"/>
          <w:sz w:val="21"/>
        </w:rPr>
        <w:t xml:space="preserve"> PR-AUC), Mode B with random retention (</w:t>
      </w:r>
      <w:r>
        <w:rPr>
          <w:rFonts w:ascii="Cambria Math" w:hAnsi="Cambria Math"/>
          <w:i/>
          <w:sz w:val="21"/>
        </w:rPr>
        <w:t>0.0701</w:t>
      </w:r>
      <w:r>
        <w:rPr>
          <w:rFonts w:ascii="Calibri" w:hAnsi="Calibri"/>
          <w:b w:val="0"/>
          <w:i w:val="0"/>
          <w:sz w:val="21"/>
        </w:rPr>
        <w:t xml:space="preserve"> PR-AUC) and with SAR geometric relief mask (</w:t>
      </w:r>
      <w:r>
        <w:rPr>
          <w:rFonts w:ascii="Cambria Math" w:hAnsi="Cambria Math"/>
          <w:i/>
          <w:sz w:val="21"/>
        </w:rPr>
        <w:t>0.0734</w:t>
      </w:r>
      <w:r>
        <w:rPr>
          <w:rFonts w:ascii="Calibri" w:hAnsi="Calibri"/>
          <w:b w:val="0"/>
          <w:i w:val="0"/>
          <w:sz w:val="21"/>
        </w:rPr>
        <w:t xml:space="preserve"> PR-AUC), alongside slope-only (</w:t>
      </w:r>
      <w:r>
        <w:rPr>
          <w:rFonts w:ascii="Cambria Math" w:hAnsi="Cambria Math"/>
          <w:i/>
          <w:sz w:val="21"/>
        </w:rPr>
        <w:t>0.0748</w:t>
      </w:r>
      <w:r>
        <w:rPr>
          <w:rFonts w:ascii="Calibri" w:hAnsi="Calibri"/>
          <w:b w:val="0"/>
          <w:i w:val="0"/>
          <w:sz w:val="21"/>
        </w:rPr>
        <w:t>), permanent-water (</w:t>
      </w:r>
      <w:r>
        <w:rPr>
          <w:rFonts w:ascii="Cambria Math" w:hAnsi="Cambria Math"/>
          <w:i/>
          <w:sz w:val="21"/>
        </w:rPr>
        <w:t>0.0782</w:t>
      </w:r>
      <w:r>
        <w:rPr>
          <w:rFonts w:ascii="Calibri" w:hAnsi="Calibri"/>
          <w:b w:val="0"/>
          <w:i w:val="0"/>
          <w:sz w:val="21"/>
        </w:rPr>
        <w:t>), confidence thresholding (</w:t>
      </w:r>
      <w:r>
        <w:rPr>
          <w:rFonts w:ascii="Cambria Math" w:hAnsi="Cambria Math"/>
          <w:i/>
          <w:sz w:val="21"/>
        </w:rPr>
        <w:t>0.0811</w:t>
      </w:r>
      <w:r>
        <w:rPr>
          <w:rFonts w:ascii="Calibri" w:hAnsi="Calibri"/>
          <w:b w:val="0"/>
          <w:i w:val="0"/>
          <w:sz w:val="21"/>
        </w:rPr>
        <w:t>), and the full Observability Index (</w:t>
      </w:r>
      <w:r>
        <w:rPr>
          <w:rFonts w:ascii="Cambria Math" w:hAnsi="Cambria Math"/>
          <w:i/>
          <w:sz w:val="21"/>
        </w:rPr>
        <w:t>0.09016</w:t>
      </w:r>
      <w:r>
        <w:rPr>
          <w:rFonts w:ascii="Calibri" w:hAnsi="Calibri"/>
          <w:b w:val="0"/>
          <w:i w:val="0"/>
          <w:sz w:val="21"/>
        </w:rPr>
        <w:t>).</w:t>
      </w:r>
    </w:p>
    <w:p>
      <w:pPr>
        <w:pStyle w:val="ListBullet"/>
        <w:spacing w:before="20" w:after="40"/>
      </w:pPr>
      <w:r>
        <w:rPr>
          <w:rFonts w:ascii="Calibri" w:hAnsi="Calibri"/>
          <w:b w:val="0"/>
          <w:i w:val="0"/>
          <w:sz w:val="21"/>
        </w:rPr>
        <w:t>Promotional wording ("proves") was moderated to objective scientific terminology ("indicates", "demonstrates").</w:t>
      </w:r>
    </w:p>
    <w:p>
      <w:pPr>
        <w:spacing w:before="20" w:after="40"/>
        <w:ind w:left="432" w:hanging="432"/>
      </w:pPr>
      <w:r>
        <w:rPr>
          <w:rFonts w:ascii="Calibri" w:hAnsi="Calibri"/>
          <w:b/>
          <w:sz w:val="21"/>
        </w:rPr>
        <w:t xml:space="preserve">5. </w:t>
      </w:r>
      <w:r>
        <w:rPr>
          <w:rFonts w:ascii="Calibri" w:hAnsi="Calibri"/>
          <w:b/>
          <w:i w:val="0"/>
          <w:sz w:val="21"/>
        </w:rPr>
        <w:t>Audit Issue E: Reproducibility Package Verification &amp; Zenodo Disclosure:</w:t>
      </w:r>
    </w:p>
    <w:p>
      <w:pPr>
        <w:pStyle w:val="ListBullet"/>
        <w:spacing w:before="20" w:after="40"/>
      </w:pPr>
      <w:r>
        <w:rPr>
          <w:rFonts w:ascii="Calibri" w:hAnsi="Calibri"/>
          <w:b w:val="0"/>
          <w:i w:val="0"/>
          <w:sz w:val="21"/>
        </w:rPr>
        <w:t>The verified live GitHub repository (</w:t>
      </w:r>
      <w:r>
        <w:rPr>
          <w:rFonts w:ascii="Consolas" w:hAnsi="Consolas"/>
          <w:color w:val="8B0000"/>
          <w:sz w:val="19"/>
        </w:rPr>
        <w:t>https://github.com/shubham-exe-web/earth-one</w:t>
      </w:r>
      <w:r>
        <w:rPr>
          <w:rFonts w:ascii="Calibri" w:hAnsi="Calibri"/>
          <w:b w:val="0"/>
          <w:i w:val="0"/>
          <w:sz w:val="21"/>
        </w:rPr>
        <w:t xml:space="preserve">, tag </w:t>
      </w:r>
      <w:r>
        <w:rPr>
          <w:rFonts w:ascii="Consolas" w:hAnsi="Consolas"/>
          <w:color w:val="8B0000"/>
          <w:sz w:val="19"/>
        </w:rPr>
        <w:t>v2.0.0</w:t>
      </w:r>
      <w:r>
        <w:rPr>
          <w:rFonts w:ascii="Calibri" w:hAnsi="Calibri"/>
          <w:b w:val="0"/>
          <w:i w:val="0"/>
          <w:sz w:val="21"/>
        </w:rPr>
        <w:t xml:space="preserve">) contains </w:t>
      </w:r>
      <w:r>
        <w:rPr>
          <w:rFonts w:ascii="Consolas" w:hAnsi="Consolas"/>
          <w:color w:val="8B0000"/>
          <w:sz w:val="19"/>
        </w:rPr>
        <w:t>tests/test_physics_gates.py</w:t>
      </w:r>
      <w:r>
        <w:rPr>
          <w:rFonts w:ascii="Calibri" w:hAnsi="Calibri"/>
          <w:b w:val="0"/>
          <w:i w:val="0"/>
          <w:sz w:val="21"/>
        </w:rPr>
        <w:t xml:space="preserve">, </w:t>
      </w:r>
      <w:r>
        <w:rPr>
          <w:rFonts w:ascii="Consolas" w:hAnsi="Consolas"/>
          <w:color w:val="8B0000"/>
          <w:sz w:val="19"/>
        </w:rPr>
        <w:t>tests/test_abstention.py</w:t>
      </w:r>
      <w:r>
        <w:rPr>
          <w:rFonts w:ascii="Calibri" w:hAnsi="Calibri"/>
          <w:b w:val="0"/>
          <w:i w:val="0"/>
          <w:sz w:val="21"/>
        </w:rPr>
        <w:t xml:space="preserve">, </w:t>
      </w:r>
      <w:r>
        <w:rPr>
          <w:rFonts w:ascii="Consolas" w:hAnsi="Consolas"/>
          <w:color w:val="8B0000"/>
          <w:sz w:val="19"/>
        </w:rPr>
        <w:t>scripts/evaluate_held_out_validation.py</w:t>
      </w:r>
      <w:r>
        <w:rPr>
          <w:rFonts w:ascii="Calibri" w:hAnsi="Calibri"/>
          <w:b w:val="0"/>
          <w:i w:val="0"/>
          <w:sz w:val="21"/>
        </w:rPr>
        <w:t xml:space="preserve">, and </w:t>
      </w:r>
      <w:r>
        <w:rPr>
          <w:rFonts w:ascii="Consolas" w:hAnsi="Consolas"/>
          <w:color w:val="8B0000"/>
          <w:sz w:val="19"/>
        </w:rPr>
        <w:t>docs/FLOOD_REPRODUCTION.md</w:t>
      </w:r>
      <w:r>
        <w:rPr>
          <w:rFonts w:ascii="Calibri" w:hAnsi="Calibri"/>
          <w:b w:val="0"/>
          <w:i w:val="0"/>
          <w:sz w:val="21"/>
        </w:rPr>
        <w:t>. Both pytest and benchmark evaluation commands were executed and verified locally and pushed to GitHub.</w:t>
      </w:r>
    </w:p>
    <w:p>
      <w:pPr>
        <w:pStyle w:val="ListBullet"/>
        <w:spacing w:before="20" w:after="40"/>
      </w:pPr>
      <w:r>
        <w:rPr>
          <w:rFonts w:ascii="Calibri" w:hAnsi="Calibri"/>
          <w:b w:val="0"/>
          <w:i w:val="0"/>
          <w:sz w:val="21"/>
        </w:rPr>
        <w:t>Zenodo status is clearly distinguished: the public GitHub repository is live, the pre-packaged archive (</w:t>
      </w:r>
      <w:r>
        <w:rPr>
          <w:rFonts w:ascii="Consolas" w:hAnsi="Consolas"/>
          <w:color w:val="8B0000"/>
          <w:sz w:val="19"/>
        </w:rPr>
        <w:t>Earth_One_Flood_v2.0.0.zip</w:t>
      </w:r>
      <w:r>
        <w:rPr>
          <w:rFonts w:ascii="Calibri" w:hAnsi="Calibri"/>
          <w:b w:val="0"/>
          <w:i w:val="0"/>
          <w:sz w:val="21"/>
        </w:rPr>
        <w:t xml:space="preserve">, 1.07 MB, SHA-256: </w:t>
      </w:r>
      <w:r>
        <w:rPr>
          <w:rFonts w:ascii="Consolas" w:hAnsi="Consolas"/>
          <w:color w:val="8B0000"/>
          <w:sz w:val="19"/>
        </w:rPr>
        <w:t>ac520c40a3074a51ca3f09a43a093b37b787273ee87c29c4522d16c37dc06f0d</w:t>
      </w:r>
      <w:r>
        <w:rPr>
          <w:rFonts w:ascii="Calibri" w:hAnsi="Calibri"/>
          <w:b w:val="0"/>
          <w:i w:val="0"/>
          <w:sz w:val="21"/>
        </w:rPr>
        <w:t xml:space="preserve">) is registered under Zenodo deposition </w:t>
      </w:r>
      <w:r>
        <w:rPr>
          <w:rFonts w:ascii="Consolas" w:hAnsi="Consolas"/>
          <w:color w:val="8B0000"/>
          <w:sz w:val="19"/>
        </w:rPr>
        <w:t>22065695</w:t>
      </w:r>
      <w:r>
        <w:rPr>
          <w:rFonts w:ascii="Calibri" w:hAnsi="Calibri"/>
          <w:b w:val="0"/>
          <w:i w:val="0"/>
          <w:sz w:val="21"/>
        </w:rPr>
        <w:t xml:space="preserve">, and DOIs </w:t>
      </w:r>
      <w:r>
        <w:rPr>
          <w:rFonts w:ascii="Consolas" w:hAnsi="Consolas"/>
          <w:color w:val="8B0000"/>
          <w:sz w:val="19"/>
        </w:rPr>
        <w:t>10.5281/zenodo.22079753</w:t>
      </w:r>
      <w:r>
        <w:rPr>
          <w:rFonts w:ascii="Calibri" w:hAnsi="Calibri"/>
          <w:b w:val="0"/>
          <w:i w:val="0"/>
          <w:sz w:val="21"/>
        </w:rPr>
        <w:t xml:space="preserve"> and </w:t>
      </w:r>
      <w:r>
        <w:rPr>
          <w:rFonts w:ascii="Consolas" w:hAnsi="Consolas"/>
          <w:color w:val="8B0000"/>
          <w:sz w:val="19"/>
        </w:rPr>
        <w:t>10.5281/zenodo.22079754</w:t>
      </w:r>
      <w:r>
        <w:rPr>
          <w:rFonts w:ascii="Calibri" w:hAnsi="Calibri"/>
          <w:b w:val="0"/>
          <w:i w:val="0"/>
          <w:sz w:val="21"/>
        </w:rPr>
        <w:t xml:space="preserve"> are reserved for post-acceptance minting.</w:t>
      </w:r>
    </w:p>
    <w:p>
      <w:pPr>
        <w:spacing w:before="120" w:after="120"/>
      </w:pPr>
      <w:r>
        <w:rPr>
          <w:color w:val="94A3B8"/>
        </w:rPr>
        <w:t>――――――――――――――――――――――――――――――――――――――――――――――――――</w:t>
      </w:r>
    </w:p>
    <w:p>
      <w:pPr>
        <w:spacing w:before="200" w:after="80"/>
      </w:pPr>
      <w:r>
        <w:rPr>
          <w:rFonts w:ascii="Calibri" w:hAnsi="Calibri"/>
          <w:b/>
          <w:i w:val="0"/>
          <w:color w:val="0369A1"/>
          <w:sz w:val="24"/>
        </w:rPr>
        <w:t>Reviewer 1 Comments</w:t>
      </w:r>
    </w:p>
    <w:p>
      <w:pPr>
        <w:spacing w:before="160" w:after="40"/>
      </w:pPr>
      <w:r>
        <w:rPr>
          <w:rFonts w:ascii="Calibri" w:hAnsi="Calibri"/>
          <w:b/>
          <w:i w:val="0"/>
          <w:color w:val="334155"/>
          <w:sz w:val="22"/>
        </w:rPr>
        <w:t>1. AI-written feel, defensive wording, and unclear terminology</w:t>
      </w:r>
    </w:p>
    <w:p>
      <w:pPr>
        <w:spacing w:before="40" w:after="80" w:line="276" w:lineRule="auto"/>
      </w:pPr>
      <w:r>
        <w:rPr>
          <w:rFonts w:ascii="Calibri" w:hAnsi="Calibri"/>
          <w:b/>
          <w:i w:val="0"/>
          <w:sz w:val="21"/>
        </w:rPr>
        <w:t>Response:</w:t>
      </w:r>
      <w:r>
        <w:rPr>
          <w:rFonts w:ascii="Calibri" w:hAnsi="Calibri"/>
          <w:b w:val="0"/>
          <w:i w:val="0"/>
          <w:sz w:val="21"/>
        </w:rPr>
        <w:t xml:space="preserve">  </w:t>
      </w:r>
    </w:p>
    <w:p>
      <w:pPr>
        <w:spacing w:before="40" w:after="80" w:line="276" w:lineRule="auto"/>
      </w:pPr>
      <w:r>
        <w:rPr>
          <w:rFonts w:ascii="Calibri" w:hAnsi="Calibri"/>
          <w:b w:val="0"/>
          <w:i w:val="0"/>
          <w:sz w:val="21"/>
        </w:rPr>
        <w:t>We have rewritten the manuscript in objective, authoritative geoscientific prose. All defensive jargon ("frozen architecture", "safe", "defendable", "autonomous proof", "complete autonomous environmental monitoring") has been removed. Terms such as "observability" and "tri-state contract" are defined strictly in physical remote sensing terms: quantifying radar geometric occlusion, local relief roughness, intertidal ambiguity, and sub-pixel scale.</w:t>
      </w:r>
    </w:p>
    <w:p>
      <w:pPr>
        <w:spacing w:before="160" w:after="40"/>
      </w:pPr>
      <w:r>
        <w:rPr>
          <w:rFonts w:ascii="Calibri" w:hAnsi="Calibri"/>
          <w:b/>
          <w:i w:val="0"/>
          <w:color w:val="334155"/>
          <w:sz w:val="22"/>
        </w:rPr>
        <w:t>2. Insufficiently reproducible preprocessing and fusion-score definitions</w:t>
      </w:r>
    </w:p>
    <w:p>
      <w:pPr>
        <w:spacing w:before="40" w:after="80" w:line="276" w:lineRule="auto"/>
      </w:pPr>
      <w:r>
        <w:rPr>
          <w:rFonts w:ascii="Calibri" w:hAnsi="Calibri"/>
          <w:b/>
          <w:i w:val="0"/>
          <w:sz w:val="21"/>
        </w:rPr>
        <w:t>Response:</w:t>
      </w:r>
      <w:r>
        <w:rPr>
          <w:rFonts w:ascii="Calibri" w:hAnsi="Calibri"/>
          <w:b w:val="0"/>
          <w:i w:val="0"/>
          <w:sz w:val="21"/>
        </w:rPr>
        <w:t xml:space="preserve">  </w:t>
      </w:r>
    </w:p>
    <w:p>
      <w:pPr>
        <w:spacing w:before="40" w:after="80" w:line="276" w:lineRule="auto"/>
      </w:pPr>
      <w:r>
        <w:rPr>
          <w:rFonts w:ascii="Calibri" w:hAnsi="Calibri"/>
          <w:b w:val="0"/>
          <w:i w:val="0"/>
          <w:sz w:val="21"/>
        </w:rPr>
        <w:t>Section 2 now provides complete mathematical formulas, input channels, valid ranges, and missing-data logic for all components:</w:t>
      </w:r>
    </w:p>
    <w:p>
      <w:pPr>
        <w:pStyle w:val="ListBullet"/>
        <w:spacing w:before="20" w:after="40"/>
      </w:pPr>
      <w:r>
        <w:rPr>
          <w:rFonts w:ascii="Calibri" w:hAnsi="Calibri"/>
          <w:b w:val="0"/>
          <w:i w:val="0"/>
          <w:sz w:val="21"/>
        </w:rPr>
        <w:t xml:space="preserve">Direct water evidence: </w:t>
      </w:r>
      <w:r>
        <w:rPr>
          <w:rFonts w:ascii="Cambria Math" w:hAnsi="Cambria Math"/>
          <w:i/>
          <w:sz w:val="21"/>
        </w:rPr>
        <w:t>S_{water} ∈ [0, 1]</w:t>
      </w:r>
      <w:r>
        <w:rPr>
          <w:rFonts w:ascii="Calibri" w:hAnsi="Calibri"/>
          <w:b w:val="0"/>
          <w:i w:val="0"/>
          <w:sz w:val="21"/>
        </w:rPr>
        <w:t xml:space="preserve"> combining Sentinel-1 SAR relative/absolute backscatter drops and Sentinel-2 MNDWI.</w:t>
      </w:r>
    </w:p>
    <w:p>
      <w:pPr>
        <w:pStyle w:val="ListBullet"/>
        <w:spacing w:before="20" w:after="40"/>
      </w:pPr>
      <w:r>
        <w:rPr>
          <w:rFonts w:ascii="Calibri" w:hAnsi="Calibri"/>
          <w:b w:val="0"/>
          <w:i w:val="0"/>
          <w:sz w:val="21"/>
        </w:rPr>
        <w:t xml:space="preserve">Hydrological novelty gate: </w:t>
      </w:r>
      <w:r>
        <w:rPr>
          <w:rFonts w:ascii="Cambria Math" w:hAnsi="Cambria Math"/>
          <w:i/>
          <w:sz w:val="21"/>
        </w:rPr>
        <w:t>M_{novelty} = clip(1.0 - f_{perm} / 0.80, 0.0, 1.0)</w:t>
      </w:r>
      <w:r>
        <w:rPr>
          <w:rFonts w:ascii="Calibri" w:hAnsi="Calibri"/>
          <w:b w:val="0"/>
          <w:i w:val="0"/>
          <w:sz w:val="21"/>
        </w:rPr>
        <w:t>.</w:t>
      </w:r>
    </w:p>
    <w:p>
      <w:pPr>
        <w:pStyle w:val="ListBullet"/>
        <w:spacing w:before="20" w:after="40"/>
      </w:pPr>
      <w:r>
        <w:rPr>
          <w:rFonts w:ascii="Calibri" w:hAnsi="Calibri"/>
          <w:b w:val="0"/>
          <w:i w:val="0"/>
          <w:sz w:val="21"/>
        </w:rPr>
        <w:t xml:space="preserve">Topographic plausibility gate: </w:t>
      </w:r>
      <w:r>
        <w:rPr>
          <w:rFonts w:ascii="Cambria Math" w:hAnsi="Cambria Math"/>
          <w:i/>
          <w:sz w:val="21"/>
        </w:rPr>
        <w:t>M_{terrain} = clip(1.0 - (θ - 8^°) / 7^°, 0.0, 1.0)</w:t>
      </w:r>
      <w:r>
        <w:rPr>
          <w:rFonts w:ascii="Calibri" w:hAnsi="Calibri"/>
          <w:b w:val="0"/>
          <w:i w:val="0"/>
          <w:sz w:val="21"/>
        </w:rPr>
        <w:t xml:space="preserve"> for </w:t>
      </w:r>
      <w:r>
        <w:rPr>
          <w:rFonts w:ascii="Cambria Math" w:hAnsi="Cambria Math"/>
          <w:i/>
          <w:sz w:val="21"/>
        </w:rPr>
        <w:t>θ ∈ (8^°, 15^°]</w:t>
      </w:r>
      <w:r>
        <w:rPr>
          <w:rFonts w:ascii="Calibri" w:hAnsi="Calibri"/>
          <w:b w:val="0"/>
          <w:i w:val="0"/>
          <w:sz w:val="21"/>
        </w:rPr>
        <w:t>.</w:t>
      </w:r>
    </w:p>
    <w:p>
      <w:pPr>
        <w:pStyle w:val="ListBullet"/>
        <w:spacing w:before="20" w:after="40"/>
      </w:pPr>
      <w:r>
        <w:rPr>
          <w:rFonts w:ascii="Calibri" w:hAnsi="Calibri"/>
          <w:b w:val="0"/>
          <w:i w:val="0"/>
          <w:sz w:val="21"/>
        </w:rPr>
        <w:t xml:space="preserve">Meteorological corroboration: </w:t>
      </w:r>
      <w:r>
        <w:rPr>
          <w:rFonts w:ascii="Cambria Math" w:hAnsi="Cambria Math"/>
          <w:i/>
          <w:sz w:val="21"/>
        </w:rPr>
        <w:t>M_{rain} = 0.70 + 0.30 × S_{rain} ∈ [0.70, 1.00]</w:t>
      </w:r>
      <w:r>
        <w:rPr>
          <w:rFonts w:ascii="Calibri" w:hAnsi="Calibri"/>
          <w:b w:val="0"/>
          <w:i w:val="0"/>
          <w:sz w:val="21"/>
        </w:rPr>
        <w:t xml:space="preserve">, mathematically proven to </w:t>
      </w:r>
      <w:r>
        <w:rPr>
          <w:rFonts w:ascii="Calibri" w:hAnsi="Calibri"/>
          <w:b/>
          <w:i w:val="0"/>
          <w:sz w:val="21"/>
        </w:rPr>
        <w:t>never suppress detection to zero</w:t>
      </w:r>
      <w:r>
        <w:rPr>
          <w:rFonts w:ascii="Calibri" w:hAnsi="Calibri"/>
          <w:b w:val="0"/>
          <w:i w:val="0"/>
          <w:sz w:val="21"/>
        </w:rPr>
        <w:t>.</w:t>
      </w:r>
    </w:p>
    <w:p>
      <w:pPr>
        <w:pStyle w:val="ListBullet"/>
        <w:spacing w:before="20" w:after="40"/>
      </w:pPr>
      <w:r>
        <w:rPr>
          <w:rFonts w:ascii="Calibri" w:hAnsi="Calibri"/>
          <w:b w:val="0"/>
          <w:i w:val="0"/>
          <w:sz w:val="21"/>
        </w:rPr>
        <w:t>Missing data fallbacks: cloudy optical pixels smoothly default to SAR; missing baseline layers default to neutral (</w:t>
      </w:r>
      <w:r>
        <w:rPr>
          <w:rFonts w:ascii="Cambria Math" w:hAnsi="Cambria Math"/>
          <w:i/>
          <w:sz w:val="21"/>
        </w:rPr>
        <w:t>1.0</w:t>
      </w:r>
      <w:r>
        <w:rPr>
          <w:rFonts w:ascii="Calibri" w:hAnsi="Calibri"/>
          <w:b w:val="0"/>
          <w:i w:val="0"/>
          <w:sz w:val="21"/>
        </w:rPr>
        <w:t>).</w:t>
      </w:r>
    </w:p>
    <w:p>
      <w:pPr>
        <w:spacing w:before="160" w:after="40"/>
      </w:pPr>
      <w:r>
        <w:rPr>
          <w:rFonts w:ascii="Calibri" w:hAnsi="Calibri"/>
          <w:b/>
          <w:i w:val="0"/>
          <w:color w:val="334155"/>
          <w:sz w:val="22"/>
        </w:rPr>
        <w:t>3. No useful maps of study areas, reference extents, or model results</w:t>
      </w:r>
    </w:p>
    <w:p>
      <w:pPr>
        <w:spacing w:before="40" w:after="80" w:line="276" w:lineRule="auto"/>
      </w:pPr>
      <w:r>
        <w:rPr>
          <w:rFonts w:ascii="Calibri" w:hAnsi="Calibri"/>
          <w:b/>
          <w:i w:val="0"/>
          <w:sz w:val="21"/>
        </w:rPr>
        <w:t>Response:</w:t>
      </w:r>
      <w:r>
        <w:rPr>
          <w:rFonts w:ascii="Calibri" w:hAnsi="Calibri"/>
          <w:b w:val="0"/>
          <w:i w:val="0"/>
          <w:sz w:val="21"/>
        </w:rPr>
        <w:t xml:space="preserve">  </w:t>
      </w:r>
    </w:p>
    <w:p>
      <w:pPr>
        <w:spacing w:before="40" w:after="80" w:line="276" w:lineRule="auto"/>
      </w:pPr>
      <w:r>
        <w:rPr>
          <w:rFonts w:ascii="Calibri" w:hAnsi="Calibri"/>
          <w:b w:val="0"/>
          <w:i w:val="0"/>
          <w:sz w:val="21"/>
        </w:rPr>
        <w:t xml:space="preserve">We have added Figure 2 (Global map of all 11 study sites across 5 continents) and Figure 3 (Multi-panel spatial maps comparing SAR backscatter, Observability </w:t>
      </w:r>
      <w:r>
        <w:rPr>
          <w:rFonts w:ascii="Cambria Math" w:hAnsi="Cambria Math"/>
          <w:i/>
          <w:sz w:val="21"/>
        </w:rPr>
        <w:t>O</w:t>
      </w:r>
      <w:r>
        <w:rPr>
          <w:rFonts w:ascii="Calibri" w:hAnsi="Calibri"/>
          <w:b w:val="0"/>
          <w:i w:val="0"/>
          <w:sz w:val="21"/>
        </w:rPr>
        <w:t>, Tri-State classification, and CEMS reference boundaries across Pakistan EMSR629, Italy Tanaro EMSR468, and Australia Mary River EMSR567).</w:t>
      </w:r>
    </w:p>
    <w:p>
      <w:pPr>
        <w:spacing w:before="120" w:after="120"/>
      </w:pPr>
      <w:r>
        <w:rPr>
          <w:color w:val="94A3B8"/>
        </w:rPr>
        <w:t>――――――――――――――――――――――――――――――――――――――――――――――――――</w:t>
      </w:r>
    </w:p>
    <w:p>
      <w:pPr>
        <w:spacing w:before="200" w:after="80"/>
      </w:pPr>
      <w:r>
        <w:rPr>
          <w:rFonts w:ascii="Calibri" w:hAnsi="Calibri"/>
          <w:b/>
          <w:i w:val="0"/>
          <w:color w:val="0369A1"/>
          <w:sz w:val="24"/>
        </w:rPr>
        <w:t>Reviewer 2 Major Comments</w:t>
      </w:r>
    </w:p>
    <w:p>
      <w:pPr>
        <w:spacing w:before="160" w:after="40"/>
      </w:pPr>
      <w:r>
        <w:rPr>
          <w:rFonts w:ascii="Calibri" w:hAnsi="Calibri"/>
          <w:b/>
          <w:i w:val="0"/>
          <w:color w:val="334155"/>
          <w:sz w:val="22"/>
        </w:rPr>
        <w:t>1. No-skill PR-AUC baselines &amp; usable detection skill</w:t>
      </w:r>
    </w:p>
    <w:p>
      <w:pPr>
        <w:spacing w:before="40" w:after="80" w:line="276" w:lineRule="auto"/>
      </w:pPr>
      <w:r>
        <w:rPr>
          <w:rFonts w:ascii="Calibri" w:hAnsi="Calibri"/>
          <w:b/>
          <w:i w:val="0"/>
          <w:sz w:val="21"/>
        </w:rPr>
        <w:t>Response:</w:t>
      </w:r>
      <w:r>
        <w:rPr>
          <w:rFonts w:ascii="Calibri" w:hAnsi="Calibri"/>
          <w:b w:val="0"/>
          <w:i w:val="0"/>
          <w:sz w:val="21"/>
        </w:rPr>
        <w:t xml:space="preserve">  </w:t>
      </w:r>
    </w:p>
    <w:p>
      <w:pPr>
        <w:spacing w:before="40" w:after="80" w:line="276" w:lineRule="auto"/>
      </w:pPr>
      <w:r>
        <w:rPr>
          <w:rFonts w:ascii="Calibri" w:hAnsi="Calibri"/>
          <w:b w:val="0"/>
          <w:i w:val="0"/>
          <w:sz w:val="21"/>
        </w:rPr>
        <w:t>We explicitly report positive class prevalence (</w:t>
      </w:r>
      <w:r>
        <w:rPr>
          <w:rFonts w:ascii="Cambria Math" w:hAnsi="Cambria Math"/>
          <w:i/>
          <w:sz w:val="21"/>
        </w:rPr>
        <w:t>PR_{chance} = P / (P + N)</w:t>
      </w:r>
      <w:r>
        <w:rPr>
          <w:rFonts w:ascii="Calibri" w:hAnsi="Calibri"/>
          <w:b w:val="0"/>
          <w:i w:val="0"/>
          <w:sz w:val="21"/>
        </w:rPr>
        <w:t>) and the Skill Ratio (</w:t>
      </w:r>
      <w:r>
        <w:rPr>
          <w:rFonts w:ascii="Cambria Math" w:hAnsi="Cambria Math"/>
          <w:i/>
          <w:sz w:val="21"/>
        </w:rPr>
        <w:t>PR-AUC / PR_{chance}</w:t>
      </w:r>
      <w:r>
        <w:rPr>
          <w:rFonts w:ascii="Calibri" w:hAnsi="Calibri"/>
          <w:b w:val="0"/>
          <w:i w:val="0"/>
          <w:sz w:val="21"/>
        </w:rPr>
        <w:t xml:space="preserve">) beside every single PR-AUC in Table 2a. In low-prevalence regimes such as Germany (EMSR517, prevalence </w:t>
      </w:r>
      <w:r>
        <w:rPr>
          <w:rFonts w:ascii="Cambria Math" w:hAnsi="Cambria Math"/>
          <w:i/>
          <w:sz w:val="21"/>
        </w:rPr>
        <w:t>= 0.11%</w:t>
      </w:r>
      <w:r>
        <w:rPr>
          <w:rFonts w:ascii="Calibri" w:hAnsi="Calibri"/>
          <w:b w:val="0"/>
          <w:i w:val="0"/>
          <w:sz w:val="21"/>
        </w:rPr>
        <w:t xml:space="preserve">), our model achieves </w:t>
      </w:r>
      <w:r>
        <w:rPr>
          <w:rFonts w:ascii="Cambria Math" w:hAnsi="Cambria Math"/>
          <w:i/>
          <w:sz w:val="21"/>
        </w:rPr>
        <w:t>0.0098</w:t>
      </w:r>
      <w:r>
        <w:rPr>
          <w:rFonts w:ascii="Calibri" w:hAnsi="Calibri"/>
          <w:b w:val="0"/>
          <w:i w:val="0"/>
          <w:sz w:val="21"/>
        </w:rPr>
        <w:t xml:space="preserve"> PR-AUC, which is </w:t>
      </w:r>
      <w:r>
        <w:rPr>
          <w:rFonts w:ascii="Calibri" w:hAnsi="Calibri"/>
          <w:b/>
          <w:i w:val="0"/>
          <w:sz w:val="21"/>
        </w:rPr>
        <w:t>9.03× higher than random chance</w:t>
      </w:r>
      <w:r>
        <w:rPr>
          <w:rFonts w:ascii="Calibri" w:hAnsi="Calibri"/>
          <w:b w:val="0"/>
          <w:i w:val="0"/>
          <w:sz w:val="21"/>
        </w:rPr>
        <w:t>. We discuss this in Section 3.1 and Section 4.1.</w:t>
      </w:r>
    </w:p>
    <w:p>
      <w:pPr>
        <w:spacing w:before="160" w:after="40"/>
      </w:pPr>
      <w:r>
        <w:rPr>
          <w:rFonts w:ascii="Calibri" w:hAnsi="Calibri"/>
          <w:b/>
          <w:i w:val="0"/>
          <w:color w:val="334155"/>
          <w:sz w:val="22"/>
        </w:rPr>
        <w:t>2. Brier skill score against climatology</w:t>
      </w:r>
    </w:p>
    <w:p>
      <w:pPr>
        <w:spacing w:before="40" w:after="80" w:line="276" w:lineRule="auto"/>
      </w:pPr>
      <w:r>
        <w:rPr>
          <w:rFonts w:ascii="Calibri" w:hAnsi="Calibri"/>
          <w:b/>
          <w:i w:val="0"/>
          <w:sz w:val="21"/>
        </w:rPr>
        <w:t>Response:</w:t>
      </w:r>
      <w:r>
        <w:rPr>
          <w:rFonts w:ascii="Calibri" w:hAnsi="Calibri"/>
          <w:b w:val="0"/>
          <w:i w:val="0"/>
          <w:sz w:val="21"/>
        </w:rPr>
        <w:t xml:space="preserve">  </w:t>
      </w:r>
    </w:p>
    <w:p>
      <w:pPr>
        <w:spacing w:before="40" w:after="80" w:line="276" w:lineRule="auto"/>
      </w:pPr>
      <w:r>
        <w:rPr>
          <w:rFonts w:ascii="Calibri" w:hAnsi="Calibri"/>
          <w:b w:val="0"/>
          <w:i w:val="0"/>
          <w:sz w:val="21"/>
        </w:rPr>
        <w:t xml:space="preserve">In Table 3, we report the climatological reference Brier score </w:t>
      </w:r>
      <w:r>
        <w:rPr>
          <w:rFonts w:ascii="Cambria Math" w:hAnsi="Cambria Math"/>
          <w:i/>
          <w:sz w:val="21"/>
        </w:rPr>
        <w:t>BS_{clim} = π(1 - π)</w:t>
      </w:r>
      <w:r>
        <w:rPr>
          <w:rFonts w:ascii="Calibri" w:hAnsi="Calibri"/>
          <w:b w:val="0"/>
          <w:i w:val="0"/>
          <w:sz w:val="21"/>
        </w:rPr>
        <w:t xml:space="preserve"> and the Brier Skill Score (</w:t>
      </w:r>
      <w:r>
        <w:rPr>
          <w:rFonts w:ascii="Cambria Math" w:hAnsi="Cambria Math"/>
          <w:i/>
          <w:sz w:val="21"/>
        </w:rPr>
        <w:t>BSS = 1 - BS / BS_{clim}</w:t>
      </w:r>
      <w:r>
        <w:rPr>
          <w:rFonts w:ascii="Calibri" w:hAnsi="Calibri"/>
          <w:b w:val="0"/>
          <w:i w:val="0"/>
          <w:sz w:val="21"/>
        </w:rPr>
        <w:t>). We openly report negative skill in uncalibrated bins and note that raw scores cannot be interpreted as posterior probabilities without post-hoc isotonic calibration.</w:t>
      </w:r>
    </w:p>
    <w:p>
      <w:pPr>
        <w:spacing w:before="160" w:after="40"/>
      </w:pPr>
      <w:r>
        <w:rPr>
          <w:rFonts w:ascii="Calibri" w:hAnsi="Calibri"/>
          <w:b/>
          <w:i w:val="0"/>
          <w:color w:val="334155"/>
          <w:sz w:val="22"/>
        </w:rPr>
        <w:t>3. Domain filtering effect, normalized metrics &amp; confidence intervals</w:t>
      </w:r>
    </w:p>
    <w:p>
      <w:pPr>
        <w:spacing w:before="40" w:after="80" w:line="276" w:lineRule="auto"/>
      </w:pPr>
      <w:r>
        <w:rPr>
          <w:rFonts w:ascii="Calibri" w:hAnsi="Calibri"/>
          <w:b/>
          <w:i w:val="0"/>
          <w:sz w:val="21"/>
        </w:rPr>
        <w:t>Response:</w:t>
      </w:r>
      <w:r>
        <w:rPr>
          <w:rFonts w:ascii="Calibri" w:hAnsi="Calibri"/>
          <w:b w:val="0"/>
          <w:i w:val="0"/>
          <w:sz w:val="21"/>
        </w:rPr>
        <w:t xml:space="preserve">  </w:t>
      </w:r>
    </w:p>
    <w:p>
      <w:pPr>
        <w:spacing w:before="40" w:after="80" w:line="276" w:lineRule="auto"/>
      </w:pPr>
      <w:r>
        <w:rPr>
          <w:rFonts w:ascii="Calibri" w:hAnsi="Calibri"/>
          <w:b w:val="0"/>
          <w:i w:val="0"/>
          <w:sz w:val="21"/>
        </w:rPr>
        <w:t xml:space="preserve">We report prevalence, sample sizes, and normalized skill ratios in both full and resolvable domains. Using </w:t>
      </w:r>
      <w:r>
        <w:rPr>
          <w:rFonts w:ascii="Cambria Math" w:hAnsi="Cambria Math"/>
          <w:i/>
          <w:sz w:val="21"/>
        </w:rPr>
        <w:t>1,000</w:t>
      </w:r>
      <w:r>
        <w:rPr>
          <w:rFonts w:ascii="Calibri" w:hAnsi="Calibri"/>
          <w:b w:val="0"/>
          <w:i w:val="0"/>
          <w:sz w:val="21"/>
        </w:rPr>
        <w:t xml:space="preserve"> spatial block bootstrap resamples (</w:t>
      </w:r>
      <w:r>
        <w:rPr>
          <w:rFonts w:ascii="Cambria Math" w:hAnsi="Cambria Math"/>
          <w:i/>
          <w:sz w:val="21"/>
        </w:rPr>
        <w:t>32 × 32</w:t>
      </w:r>
      <w:r>
        <w:rPr>
          <w:rFonts w:ascii="Calibri" w:hAnsi="Calibri"/>
          <w:b w:val="0"/>
          <w:i w:val="0"/>
          <w:sz w:val="21"/>
        </w:rPr>
        <w:t xml:space="preserve"> pixels, </w:t>
      </w:r>
      <w:r>
        <w:rPr>
          <w:rFonts w:ascii="Cambria Math" w:hAnsi="Cambria Math"/>
          <w:i/>
          <w:sz w:val="21"/>
        </w:rPr>
        <w:t>640 × 640 m</w:t>
      </w:r>
      <w:r>
        <w:rPr>
          <w:rFonts w:ascii="Calibri" w:hAnsi="Calibri"/>
          <w:b w:val="0"/>
          <w:i w:val="0"/>
          <w:sz w:val="21"/>
        </w:rPr>
        <w:t xml:space="preserve">), we report </w:t>
      </w:r>
      <w:r>
        <w:rPr>
          <w:rFonts w:ascii="Cambria Math" w:hAnsi="Cambria Math"/>
          <w:i/>
          <w:sz w:val="21"/>
        </w:rPr>
        <w:t>95%</w:t>
      </w:r>
      <w:r>
        <w:rPr>
          <w:rFonts w:ascii="Calibri" w:hAnsi="Calibri"/>
          <w:b w:val="0"/>
          <w:i w:val="0"/>
          <w:sz w:val="21"/>
        </w:rPr>
        <w:t xml:space="preserve"> confidence intervals for </w:t>
      </w:r>
      <w:r>
        <w:rPr>
          <w:rFonts w:ascii="Cambria Math" w:hAnsi="Cambria Math"/>
          <w:i/>
          <w:sz w:val="21"/>
        </w:rPr>
        <w:t>ΔPR-AUC</w:t>
      </w:r>
      <w:r>
        <w:rPr>
          <w:rFonts w:ascii="Calibri" w:hAnsi="Calibri"/>
          <w:b w:val="0"/>
          <w:i w:val="0"/>
          <w:sz w:val="21"/>
        </w:rPr>
        <w:t xml:space="preserve"> across all events.</w:t>
      </w:r>
    </w:p>
    <w:p>
      <w:pPr>
        <w:spacing w:before="160" w:after="40"/>
      </w:pPr>
      <w:r>
        <w:rPr>
          <w:rFonts w:ascii="Calibri" w:hAnsi="Calibri"/>
          <w:b/>
          <w:i w:val="0"/>
          <w:color w:val="334155"/>
          <w:sz w:val="22"/>
        </w:rPr>
        <w:t>4. Observability-reliability relationship &amp; circularity</w:t>
      </w:r>
    </w:p>
    <w:p>
      <w:pPr>
        <w:spacing w:before="40" w:after="80" w:line="276" w:lineRule="auto"/>
      </w:pPr>
      <w:r>
        <w:rPr>
          <w:rFonts w:ascii="Calibri" w:hAnsi="Calibri"/>
          <w:b/>
          <w:i w:val="0"/>
          <w:sz w:val="21"/>
        </w:rPr>
        <w:t>Response:</w:t>
      </w:r>
      <w:r>
        <w:rPr>
          <w:rFonts w:ascii="Calibri" w:hAnsi="Calibri"/>
          <w:b w:val="0"/>
          <w:i w:val="0"/>
          <w:sz w:val="21"/>
        </w:rPr>
        <w:t xml:space="preserve">  </w:t>
      </w:r>
    </w:p>
    <w:p>
      <w:pPr>
        <w:pStyle w:val="ListBullet"/>
        <w:spacing w:before="20" w:after="40"/>
      </w:pPr>
      <w:r>
        <w:rPr>
          <w:rFonts w:ascii="Calibri" w:hAnsi="Calibri"/>
          <w:b w:val="0"/>
          <w:i w:val="0"/>
          <w:sz w:val="21"/>
        </w:rPr>
        <w:t>In Bin 1 (</w:t>
      </w:r>
      <w:r>
        <w:rPr>
          <w:rFonts w:ascii="Cambria Math" w:hAnsi="Cambria Math"/>
          <w:i/>
          <w:sz w:val="21"/>
        </w:rPr>
        <w:t>O &lt; 0.20</w:t>
      </w:r>
      <w:r>
        <w:rPr>
          <w:rFonts w:ascii="Calibri" w:hAnsi="Calibri"/>
          <w:b w:val="0"/>
          <w:i w:val="0"/>
          <w:sz w:val="21"/>
        </w:rPr>
        <w:t xml:space="preserve">), zero predicted positives were emitted at </w:t>
      </w:r>
      <w:r>
        <w:rPr>
          <w:rFonts w:ascii="Cambria Math" w:hAnsi="Cambria Math"/>
          <w:i/>
          <w:sz w:val="21"/>
        </w:rPr>
        <w:t>T_{det} = 0.20</w:t>
      </w:r>
      <w:r>
        <w:rPr>
          <w:rFonts w:ascii="Calibri" w:hAnsi="Calibri"/>
          <w:b w:val="0"/>
          <w:i w:val="0"/>
          <w:sz w:val="21"/>
        </w:rPr>
        <w:t xml:space="preserve">; empirical precision is mathematically </w:t>
      </w:r>
      <w:r>
        <w:rPr>
          <w:rFonts w:ascii="Calibri" w:hAnsi="Calibri"/>
          <w:b/>
          <w:i w:val="0"/>
          <w:sz w:val="21"/>
        </w:rPr>
        <w:t>Undefined (0/0)</w:t>
      </w:r>
      <w:r>
        <w:rPr>
          <w:rFonts w:ascii="Calibri" w:hAnsi="Calibri"/>
          <w:b w:val="0"/>
          <w:i w:val="0"/>
          <w:sz w:val="21"/>
        </w:rPr>
        <w:t xml:space="preserve"> and is omitted from the precision curve.</w:t>
      </w:r>
    </w:p>
    <w:p>
      <w:pPr>
        <w:pStyle w:val="ListBullet"/>
        <w:spacing w:before="20" w:after="40"/>
      </w:pPr>
      <w:r>
        <w:rPr>
          <w:rFonts w:ascii="Calibri" w:hAnsi="Calibri"/>
          <w:b w:val="0"/>
          <w:i w:val="0"/>
          <w:sz w:val="21"/>
        </w:rPr>
        <w:t>Across the four well-defined precision tiers (</w:t>
      </w:r>
      <w:r>
        <w:rPr>
          <w:rFonts w:ascii="Cambria Math" w:hAnsi="Cambria Math"/>
          <w:i/>
          <w:sz w:val="21"/>
        </w:rPr>
        <w:t>O ≥ 0.20</w:t>
      </w:r>
      <w:r>
        <w:rPr>
          <w:rFonts w:ascii="Calibri" w:hAnsi="Calibri"/>
          <w:b w:val="0"/>
          <w:i w:val="0"/>
          <w:sz w:val="21"/>
        </w:rPr>
        <w:t xml:space="preserve">), Pearson </w:t>
      </w:r>
      <w:r>
        <w:rPr>
          <w:rFonts w:ascii="Cambria Math" w:hAnsi="Cambria Math"/>
          <w:i/>
          <w:sz w:val="21"/>
        </w:rPr>
        <w:t>r = 0.8385</w:t>
      </w:r>
      <w:r>
        <w:rPr>
          <w:rFonts w:ascii="Calibri" w:hAnsi="Calibri"/>
          <w:b w:val="0"/>
          <w:i w:val="0"/>
          <w:sz w:val="21"/>
        </w:rPr>
        <w:t xml:space="preserve"> (</w:t>
      </w:r>
      <w:r>
        <w:rPr>
          <w:rFonts w:ascii="Cambria Math" w:hAnsi="Cambria Math"/>
          <w:i/>
          <w:sz w:val="21"/>
        </w:rPr>
        <w:t>p = 0.1615</w:t>
      </w:r>
      <w:r>
        <w:rPr>
          <w:rFonts w:ascii="Calibri" w:hAnsi="Calibri"/>
          <w:b w:val="0"/>
          <w:i w:val="0"/>
          <w:sz w:val="21"/>
        </w:rPr>
        <w:t xml:space="preserve">) and Spearman </w:t>
      </w:r>
      <w:r>
        <w:rPr>
          <w:rFonts w:ascii="Cambria Math" w:hAnsi="Cambria Math"/>
          <w:i/>
          <w:sz w:val="21"/>
        </w:rPr>
        <w:t>ρ = 0.6000</w:t>
      </w:r>
      <w:r>
        <w:rPr>
          <w:rFonts w:ascii="Calibri" w:hAnsi="Calibri"/>
          <w:b w:val="0"/>
          <w:i w:val="0"/>
          <w:sz w:val="21"/>
        </w:rPr>
        <w:t xml:space="preserve"> (</w:t>
      </w:r>
      <w:r>
        <w:rPr>
          <w:rFonts w:ascii="Cambria Math" w:hAnsi="Cambria Math"/>
          <w:i/>
          <w:sz w:val="21"/>
        </w:rPr>
        <w:t>p = 0.4000</w:t>
      </w:r>
      <w:r>
        <w:rPr>
          <w:rFonts w:ascii="Calibri" w:hAnsi="Calibri"/>
          <w:b w:val="0"/>
          <w:i w:val="0"/>
          <w:sz w:val="21"/>
        </w:rPr>
        <w:t xml:space="preserve">). Across all five tiers evaluated on continuous PR-AUC, Pearson </w:t>
      </w:r>
      <w:r>
        <w:rPr>
          <w:rFonts w:ascii="Cambria Math" w:hAnsi="Cambria Math"/>
          <w:i/>
          <w:sz w:val="21"/>
        </w:rPr>
        <w:t>r = 0.8436</w:t>
      </w:r>
      <w:r>
        <w:rPr>
          <w:rFonts w:ascii="Calibri" w:hAnsi="Calibri"/>
          <w:b w:val="0"/>
          <w:i w:val="0"/>
          <w:sz w:val="21"/>
        </w:rPr>
        <w:t xml:space="preserve"> (</w:t>
      </w:r>
      <w:r>
        <w:rPr>
          <w:rFonts w:ascii="Cambria Math" w:hAnsi="Cambria Math"/>
          <w:i/>
          <w:sz w:val="21"/>
        </w:rPr>
        <w:t>p = 0.0725</w:t>
      </w:r>
      <w:r>
        <w:rPr>
          <w:rFonts w:ascii="Calibri" w:hAnsi="Calibri"/>
          <w:b w:val="0"/>
          <w:i w:val="0"/>
          <w:sz w:val="21"/>
        </w:rPr>
        <w:t xml:space="preserve">) and Spearman </w:t>
      </w:r>
      <w:r>
        <w:rPr>
          <w:rFonts w:ascii="Cambria Math" w:hAnsi="Cambria Math"/>
          <w:i/>
          <w:sz w:val="21"/>
        </w:rPr>
        <w:t>ρ = 0.7000</w:t>
      </w:r>
      <w:r>
        <w:rPr>
          <w:rFonts w:ascii="Calibri" w:hAnsi="Calibri"/>
          <w:b w:val="0"/>
          <w:i w:val="0"/>
          <w:sz w:val="21"/>
        </w:rPr>
        <w:t xml:space="preserve"> (</w:t>
      </w:r>
      <w:r>
        <w:rPr>
          <w:rFonts w:ascii="Cambria Math" w:hAnsi="Cambria Math"/>
          <w:i/>
          <w:sz w:val="21"/>
        </w:rPr>
        <w:t>p = 0.1881</w:t>
      </w:r>
      <w:r>
        <w:rPr>
          <w:rFonts w:ascii="Calibri" w:hAnsi="Calibri"/>
          <w:b w:val="0"/>
          <w:i w:val="0"/>
          <w:sz w:val="21"/>
        </w:rPr>
        <w:t>). We explicitly qualify this relationship as descriptive positive grouping rather than a strict monotonic continuous law.</w:t>
      </w:r>
    </w:p>
    <w:p>
      <w:pPr>
        <w:pStyle w:val="ListBullet"/>
        <w:spacing w:before="20" w:after="40"/>
      </w:pPr>
      <w:r>
        <w:rPr>
          <w:rFonts w:ascii="Calibri" w:hAnsi="Calibri"/>
          <w:b w:val="0"/>
          <w:i w:val="0"/>
          <w:sz w:val="21"/>
        </w:rPr>
        <w:t xml:space="preserve">Component-level ablation (Table 4) proves that the unified index </w:t>
      </w:r>
      <w:r>
        <w:rPr>
          <w:rFonts w:ascii="Cambria Math" w:hAnsi="Cambria Math"/>
          <w:i/>
          <w:sz w:val="21"/>
        </w:rPr>
        <w:t>O</w:t>
      </w:r>
      <w:r>
        <w:rPr>
          <w:rFonts w:ascii="Calibri" w:hAnsi="Calibri"/>
          <w:b w:val="0"/>
          <w:i w:val="0"/>
          <w:sz w:val="21"/>
        </w:rPr>
        <w:t xml:space="preserve"> achieves </w:t>
      </w:r>
      <w:r>
        <w:rPr>
          <w:rFonts w:ascii="Cambria Math" w:hAnsi="Cambria Math"/>
          <w:i/>
          <w:sz w:val="21"/>
        </w:rPr>
        <w:t>0.09016</w:t>
      </w:r>
      <w:r>
        <w:rPr>
          <w:rFonts w:ascii="Calibri" w:hAnsi="Calibri"/>
          <w:b w:val="0"/>
          <w:i w:val="0"/>
          <w:sz w:val="21"/>
        </w:rPr>
        <w:t xml:space="preserve"> macro PR-AUC, outperforming single-factor filters (slope only: </w:t>
      </w:r>
      <w:r>
        <w:rPr>
          <w:rFonts w:ascii="Cambria Math" w:hAnsi="Cambria Math"/>
          <w:i/>
          <w:sz w:val="21"/>
        </w:rPr>
        <w:t>0.0748</w:t>
      </w:r>
      <w:r>
        <w:rPr>
          <w:rFonts w:ascii="Calibri" w:hAnsi="Calibri"/>
          <w:b w:val="0"/>
          <w:i w:val="0"/>
          <w:sz w:val="21"/>
        </w:rPr>
        <w:t xml:space="preserve">, permanent water only: </w:t>
      </w:r>
      <w:r>
        <w:rPr>
          <w:rFonts w:ascii="Cambria Math" w:hAnsi="Cambria Math"/>
          <w:i/>
          <w:sz w:val="21"/>
        </w:rPr>
        <w:t>0.0782</w:t>
      </w:r>
      <w:r>
        <w:rPr>
          <w:rFonts w:ascii="Calibri" w:hAnsi="Calibri"/>
          <w:b w:val="0"/>
          <w:i w:val="0"/>
          <w:sz w:val="21"/>
        </w:rPr>
        <w:t xml:space="preserve">, confidence only: </w:t>
      </w:r>
      <w:r>
        <w:rPr>
          <w:rFonts w:ascii="Cambria Math" w:hAnsi="Cambria Math"/>
          <w:i/>
          <w:sz w:val="21"/>
        </w:rPr>
        <w:t>0.0811</w:t>
      </w:r>
      <w:r>
        <w:rPr>
          <w:rFonts w:ascii="Calibri" w:hAnsi="Calibri"/>
          <w:b w:val="0"/>
          <w:i w:val="0"/>
          <w:sz w:val="21"/>
        </w:rPr>
        <w:t>) and baseline change detection (</w:t>
      </w:r>
      <w:r>
        <w:rPr>
          <w:rFonts w:ascii="Cambria Math" w:hAnsi="Cambria Math"/>
          <w:i/>
          <w:sz w:val="21"/>
        </w:rPr>
        <w:t>0.0618</w:t>
      </w:r>
      <w:r>
        <w:rPr>
          <w:rFonts w:ascii="Calibri" w:hAnsi="Calibri"/>
          <w:b w:val="0"/>
          <w:i w:val="0"/>
          <w:sz w:val="21"/>
        </w:rPr>
        <w:t>) at matched coverage (</w:t>
      </w:r>
      <w:r>
        <w:rPr>
          <w:rFonts w:ascii="Cambria Math" w:hAnsi="Cambria Math"/>
          <w:i/>
          <w:sz w:val="21"/>
        </w:rPr>
        <w:t>44.14%</w:t>
      </w:r>
      <w:r>
        <w:rPr>
          <w:rFonts w:ascii="Calibri" w:hAnsi="Calibri"/>
          <w:b w:val="0"/>
          <w:i w:val="0"/>
          <w:sz w:val="21"/>
        </w:rPr>
        <w:t xml:space="preserve">), demonstrating that </w:t>
      </w:r>
      <w:r>
        <w:rPr>
          <w:rFonts w:ascii="Cambria Math" w:hAnsi="Cambria Math"/>
          <w:i/>
          <w:sz w:val="21"/>
        </w:rPr>
        <w:t>O</w:t>
      </w:r>
      <w:r>
        <w:rPr>
          <w:rFonts w:ascii="Calibri" w:hAnsi="Calibri"/>
          <w:b w:val="0"/>
          <w:i w:val="0"/>
          <w:sz w:val="21"/>
        </w:rPr>
        <w:t xml:space="preserve"> provides distinct physical value beyond individual gates.</w:t>
      </w:r>
    </w:p>
    <w:p>
      <w:pPr>
        <w:spacing w:before="160" w:after="40"/>
      </w:pPr>
      <w:r>
        <w:rPr>
          <w:rFonts w:ascii="Calibri" w:hAnsi="Calibri"/>
          <w:b/>
          <w:i w:val="0"/>
          <w:color w:val="334155"/>
          <w:sz w:val="22"/>
        </w:rPr>
        <w:t>5. EMSR629 Pakistan Indus dominance</w:t>
      </w:r>
    </w:p>
    <w:p>
      <w:pPr>
        <w:spacing w:before="40" w:after="80" w:line="276" w:lineRule="auto"/>
      </w:pPr>
      <w:r>
        <w:rPr>
          <w:rFonts w:ascii="Calibri" w:hAnsi="Calibri"/>
          <w:b/>
          <w:i w:val="0"/>
          <w:sz w:val="21"/>
        </w:rPr>
        <w:t>Response:</w:t>
      </w:r>
      <w:r>
        <w:rPr>
          <w:rFonts w:ascii="Calibri" w:hAnsi="Calibri"/>
          <w:b w:val="0"/>
          <w:i w:val="0"/>
          <w:sz w:val="21"/>
        </w:rPr>
        <w:t xml:space="preserve">  </w:t>
      </w:r>
    </w:p>
    <w:p>
      <w:pPr>
        <w:spacing w:before="40" w:after="80" w:line="276" w:lineRule="auto"/>
      </w:pPr>
      <w:r>
        <w:rPr>
          <w:rFonts w:ascii="Calibri" w:hAnsi="Calibri"/>
          <w:b w:val="0"/>
          <w:i w:val="0"/>
          <w:sz w:val="21"/>
        </w:rPr>
        <w:t xml:space="preserve">Pakistan EMSR629 is explicitly designated as a </w:t>
      </w:r>
      <w:r>
        <w:rPr>
          <w:rFonts w:ascii="Calibri" w:hAnsi="Calibri"/>
          <w:b/>
          <w:i w:val="0"/>
          <w:sz w:val="21"/>
        </w:rPr>
        <w:t>development-cohort diagnostic case</w:t>
      </w:r>
      <w:r>
        <w:rPr>
          <w:rFonts w:ascii="Calibri" w:hAnsi="Calibri"/>
          <w:b w:val="0"/>
          <w:i w:val="0"/>
          <w:sz w:val="21"/>
        </w:rPr>
        <w:t xml:space="preserve"> (Table 2a). Abstract and conclusions lead with the macro results across the eight held-out validation events (</w:t>
      </w:r>
      <w:r>
        <w:rPr>
          <w:rFonts w:ascii="Cambria Math" w:hAnsi="Cambria Math"/>
          <w:i/>
          <w:sz w:val="21"/>
        </w:rPr>
        <w:t>0.0697 → 0.0902</w:t>
      </w:r>
      <w:r>
        <w:rPr>
          <w:rFonts w:ascii="Calibri" w:hAnsi="Calibri"/>
          <w:b w:val="0"/>
          <w:i w:val="0"/>
          <w:sz w:val="21"/>
        </w:rPr>
        <w:t xml:space="preserve">, </w:t>
      </w:r>
      <w:r>
        <w:rPr>
          <w:rFonts w:ascii="Cambria Math" w:hAnsi="Cambria Math"/>
          <w:i/>
          <w:sz w:val="21"/>
        </w:rPr>
        <w:t>+29.3%</w:t>
      </w:r>
      <w:r>
        <w:rPr>
          <w:rFonts w:ascii="Calibri" w:hAnsi="Calibri"/>
          <w:b w:val="0"/>
          <w:i w:val="0"/>
          <w:sz w:val="21"/>
        </w:rPr>
        <w:t xml:space="preserve"> gain).</w:t>
      </w:r>
    </w:p>
    <w:p>
      <w:pPr>
        <w:spacing w:before="160" w:after="40"/>
      </w:pPr>
      <w:r>
        <w:rPr>
          <w:rFonts w:ascii="Calibri" w:hAnsi="Calibri"/>
          <w:b/>
          <w:i w:val="0"/>
          <w:color w:val="334155"/>
          <w:sz w:val="22"/>
        </w:rPr>
        <w:t>6. Cohort disambiguation</w:t>
      </w:r>
    </w:p>
    <w:p>
      <w:pPr>
        <w:spacing w:before="40" w:after="80" w:line="276" w:lineRule="auto"/>
      </w:pPr>
      <w:r>
        <w:rPr>
          <w:rFonts w:ascii="Calibri" w:hAnsi="Calibri"/>
          <w:b/>
          <w:i w:val="0"/>
          <w:sz w:val="21"/>
        </w:rPr>
        <w:t>Response:</w:t>
      </w:r>
      <w:r>
        <w:rPr>
          <w:rFonts w:ascii="Calibri" w:hAnsi="Calibri"/>
          <w:b w:val="0"/>
          <w:i w:val="0"/>
          <w:sz w:val="21"/>
        </w:rPr>
        <w:t xml:space="preserve">  </w:t>
      </w:r>
    </w:p>
    <w:p>
      <w:pPr>
        <w:spacing w:before="40" w:after="80" w:line="276" w:lineRule="auto"/>
      </w:pPr>
      <w:r>
        <w:rPr>
          <w:rFonts w:ascii="Calibri" w:hAnsi="Calibri"/>
          <w:b w:val="0"/>
          <w:i w:val="0"/>
          <w:sz w:val="21"/>
        </w:rPr>
        <w:t>Rebuilt into Development (</w:t>
      </w:r>
      <w:r>
        <w:rPr>
          <w:rFonts w:ascii="Cambria Math" w:hAnsi="Cambria Math"/>
          <w:i/>
          <w:sz w:val="21"/>
        </w:rPr>
        <w:t>N=3</w:t>
      </w:r>
      <w:r>
        <w:rPr>
          <w:rFonts w:ascii="Calibri" w:hAnsi="Calibri"/>
          <w:b w:val="0"/>
          <w:i w:val="0"/>
          <w:sz w:val="21"/>
        </w:rPr>
        <w:t>) and Held-Out Validation (</w:t>
      </w:r>
      <w:r>
        <w:rPr>
          <w:rFonts w:ascii="Cambria Math" w:hAnsi="Cambria Math"/>
          <w:i/>
          <w:sz w:val="21"/>
        </w:rPr>
        <w:t>N=8</w:t>
      </w:r>
      <w:r>
        <w:rPr>
          <w:rFonts w:ascii="Calibri" w:hAnsi="Calibri"/>
          <w:b w:val="0"/>
          <w:i w:val="0"/>
          <w:sz w:val="21"/>
        </w:rPr>
        <w:t>). Table 1 and Table 2 completely eliminate cohort overlap.</w:t>
      </w:r>
    </w:p>
    <w:p>
      <w:pPr>
        <w:spacing w:before="160" w:after="40"/>
      </w:pPr>
      <w:r>
        <w:rPr>
          <w:rFonts w:ascii="Calibri" w:hAnsi="Calibri"/>
          <w:b/>
          <w:i w:val="0"/>
          <w:color w:val="334155"/>
          <w:sz w:val="22"/>
        </w:rPr>
        <w:t>7. Missing baselines &amp; literature positioning</w:t>
      </w:r>
    </w:p>
    <w:p>
      <w:pPr>
        <w:spacing w:before="40" w:after="80" w:line="276" w:lineRule="auto"/>
      </w:pPr>
      <w:r>
        <w:rPr>
          <w:rFonts w:ascii="Calibri" w:hAnsi="Calibri"/>
          <w:b/>
          <w:i w:val="0"/>
          <w:sz w:val="21"/>
        </w:rPr>
        <w:t>Response:</w:t>
      </w:r>
      <w:r>
        <w:rPr>
          <w:rFonts w:ascii="Calibri" w:hAnsi="Calibri"/>
          <w:b w:val="0"/>
          <w:i w:val="0"/>
          <w:sz w:val="21"/>
        </w:rPr>
        <w:t xml:space="preserve">  </w:t>
      </w:r>
    </w:p>
    <w:p>
      <w:pPr>
        <w:spacing w:before="40" w:after="80" w:line="276" w:lineRule="auto"/>
      </w:pPr>
      <w:r>
        <w:rPr>
          <w:rFonts w:ascii="Calibri" w:hAnsi="Calibri"/>
          <w:b w:val="0"/>
          <w:i w:val="0"/>
          <w:sz w:val="21"/>
        </w:rPr>
        <w:t>We benchmarked Earth One against single-channel SAR thresholding and SAR change detection (Table 4), and extensively cited Copernicus GFM, Sen1Floods11, and modern remote sensing literature (38 references).</w:t>
      </w:r>
    </w:p>
    <w:p>
      <w:pPr>
        <w:spacing w:before="160" w:after="40"/>
      </w:pPr>
      <w:r>
        <w:rPr>
          <w:rFonts w:ascii="Calibri" w:hAnsi="Calibri"/>
          <w:b/>
          <w:i w:val="0"/>
          <w:color w:val="334155"/>
          <w:sz w:val="22"/>
        </w:rPr>
        <w:t>8. Cost of abstention &amp; risk-coverage curves</w:t>
      </w:r>
    </w:p>
    <w:p>
      <w:pPr>
        <w:spacing w:before="40" w:after="80" w:line="276" w:lineRule="auto"/>
      </w:pPr>
      <w:r>
        <w:rPr>
          <w:rFonts w:ascii="Calibri" w:hAnsi="Calibri"/>
          <w:b/>
          <w:i w:val="0"/>
          <w:sz w:val="21"/>
        </w:rPr>
        <w:t>Response:</w:t>
      </w:r>
      <w:r>
        <w:rPr>
          <w:rFonts w:ascii="Calibri" w:hAnsi="Calibri"/>
          <w:b w:val="0"/>
          <w:i w:val="0"/>
          <w:sz w:val="21"/>
        </w:rPr>
        <w:t xml:space="preserve">  </w:t>
      </w:r>
    </w:p>
    <w:p>
      <w:pPr>
        <w:spacing w:before="40" w:after="80" w:line="276" w:lineRule="auto"/>
      </w:pPr>
      <w:r>
        <w:rPr>
          <w:rFonts w:ascii="Calibri" w:hAnsi="Calibri"/>
          <w:b w:val="0"/>
          <w:i w:val="0"/>
          <w:sz w:val="21"/>
        </w:rPr>
        <w:t>Table 2b reports the fraction of reference flood area falling into UNRESOLVED for every event. Figure 5 provides risk-coverage curves plotting PR-AUC and false-positive reduction vs coverage fraction.</w:t>
      </w:r>
    </w:p>
    <w:p>
      <w:pPr>
        <w:spacing w:before="160" w:after="40"/>
      </w:pPr>
      <w:r>
        <w:rPr>
          <w:rFonts w:ascii="Calibri" w:hAnsi="Calibri"/>
          <w:b/>
          <w:i w:val="0"/>
          <w:color w:val="334155"/>
          <w:sz w:val="22"/>
        </w:rPr>
        <w:t>9. Reference data limitations &amp; temporal lags</w:t>
      </w:r>
    </w:p>
    <w:p>
      <w:pPr>
        <w:spacing w:before="40" w:after="80" w:line="276" w:lineRule="auto"/>
      </w:pPr>
      <w:r>
        <w:rPr>
          <w:rFonts w:ascii="Calibri" w:hAnsi="Calibri"/>
          <w:b/>
          <w:i w:val="0"/>
          <w:sz w:val="21"/>
        </w:rPr>
        <w:t>Response:</w:t>
      </w:r>
      <w:r>
        <w:rPr>
          <w:rFonts w:ascii="Calibri" w:hAnsi="Calibri"/>
          <w:b w:val="0"/>
          <w:i w:val="0"/>
          <w:sz w:val="21"/>
        </w:rPr>
        <w:t xml:space="preserve">  </w:t>
      </w:r>
    </w:p>
    <w:p>
      <w:pPr>
        <w:spacing w:before="40" w:after="80" w:line="276" w:lineRule="auto"/>
      </w:pPr>
      <w:r>
        <w:rPr>
          <w:rFonts w:ascii="Calibri" w:hAnsi="Calibri"/>
          <w:b w:val="0"/>
          <w:i w:val="0"/>
          <w:sz w:val="21"/>
        </w:rPr>
        <w:t>Table 1 documents exact temporal lags (</w:t>
      </w:r>
      <w:r>
        <w:rPr>
          <w:rFonts w:ascii="Cambria Math" w:hAnsi="Cambria Math"/>
          <w:i/>
          <w:sz w:val="21"/>
        </w:rPr>
        <w:t>Δ t = 4.2–36.2 h</w:t>
      </w:r>
      <w:r>
        <w:rPr>
          <w:rFonts w:ascii="Calibri" w:hAnsi="Calibri"/>
          <w:b w:val="0"/>
          <w:i w:val="0"/>
          <w:sz w:val="21"/>
        </w:rPr>
        <w:t>) between model satellite passes and CEMS cartographic imagery, and Section 4.3 discusses hydrologic recession and SAR reference circularity.</w:t>
      </w:r>
    </w:p>
    <w:p>
      <w:pPr>
        <w:spacing w:before="160" w:after="40"/>
      </w:pPr>
      <w:r>
        <w:rPr>
          <w:rFonts w:ascii="Calibri" w:hAnsi="Calibri"/>
          <w:b/>
          <w:i w:val="0"/>
          <w:color w:val="334155"/>
          <w:sz w:val="22"/>
        </w:rPr>
        <w:t>10. Separation of software tests from scientific validation</w:t>
      </w:r>
    </w:p>
    <w:p>
      <w:pPr>
        <w:spacing w:before="40" w:after="80" w:line="276" w:lineRule="auto"/>
      </w:pPr>
      <w:r>
        <w:rPr>
          <w:rFonts w:ascii="Calibri" w:hAnsi="Calibri"/>
          <w:b/>
          <w:i w:val="0"/>
          <w:sz w:val="21"/>
        </w:rPr>
        <w:t>Response:</w:t>
      </w:r>
      <w:r>
        <w:rPr>
          <w:rFonts w:ascii="Calibri" w:hAnsi="Calibri"/>
          <w:b w:val="0"/>
          <w:i w:val="0"/>
          <w:sz w:val="21"/>
        </w:rPr>
        <w:t xml:space="preserve">  </w:t>
      </w:r>
    </w:p>
    <w:p>
      <w:pPr>
        <w:spacing w:before="40" w:after="80" w:line="276" w:lineRule="auto"/>
      </w:pPr>
      <w:r>
        <w:rPr>
          <w:rFonts w:ascii="Calibri" w:hAnsi="Calibri"/>
          <w:b w:val="0"/>
          <w:i w:val="0"/>
          <w:sz w:val="21"/>
        </w:rPr>
        <w:t>Replay, fault injection, and alert state deduplication are strictly separated into Section 3.5, and qualified as software pipeline reliability rather than geophysical detection accuracy.</w:t>
      </w:r>
    </w:p>
    <w:p>
      <w:pPr>
        <w:spacing w:before="120" w:after="120"/>
      </w:pPr>
      <w:r>
        <w:rPr>
          <w:color w:val="94A3B8"/>
        </w:rPr>
        <w:t>――――――――――――――――――――――――――――――――――――――――――――――――――</w:t>
      </w:r>
    </w:p>
    <w:p>
      <w:pPr>
        <w:spacing w:before="200" w:after="80"/>
      </w:pPr>
      <w:r>
        <w:rPr>
          <w:rFonts w:ascii="Calibri" w:hAnsi="Calibri"/>
          <w:b/>
          <w:i w:val="0"/>
          <w:color w:val="0369A1"/>
          <w:sz w:val="24"/>
        </w:rPr>
        <w:t>Reviewer 3 Minor Comments (Items 1–11 Point-by-Point)</w:t>
      </w:r>
    </w:p>
    <w:p>
      <w:pPr>
        <w:spacing w:before="40" w:after="80" w:line="276" w:lineRule="auto"/>
      </w:pPr>
      <w:r>
        <w:rPr>
          <w:rFonts w:ascii="Calibri" w:hAnsi="Calibri"/>
          <w:b/>
          <w:i w:val="0"/>
          <w:sz w:val="21"/>
        </w:rPr>
        <w:t>Comment 1: Correct the duplicated Section 2.5.</w:t>
      </w:r>
      <w:r>
        <w:rPr>
          <w:rFonts w:ascii="Calibri" w:hAnsi="Calibri"/>
          <w:b w:val="0"/>
          <w:i w:val="0"/>
          <w:sz w:val="21"/>
        </w:rPr>
        <w:t xml:space="preserve">  </w:t>
      </w:r>
    </w:p>
    <w:p>
      <w:pPr>
        <w:spacing w:before="40" w:after="80" w:line="276" w:lineRule="auto"/>
      </w:pPr>
      <w:r>
        <w:rPr>
          <w:rFonts w:ascii="Calibri" w:hAnsi="Calibri"/>
          <w:b/>
          <w:i w:val="0"/>
          <w:sz w:val="21"/>
        </w:rPr>
        <w:t>Response:</w:t>
      </w:r>
      <w:r>
        <w:rPr>
          <w:rFonts w:ascii="Calibri" w:hAnsi="Calibri"/>
          <w:b w:val="0"/>
          <w:i w:val="0"/>
          <w:sz w:val="21"/>
        </w:rPr>
        <w:t xml:space="preserve"> Corrected. The duplicate section heading has been removed. Section 2.5 is now uniquely titled "Continuous Observability Index and Resolution-Aware Decision Contract" (page 5).</w:t>
      </w:r>
    </w:p>
    <w:p>
      <w:pPr>
        <w:spacing w:before="40" w:after="80" w:line="276" w:lineRule="auto"/>
      </w:pPr>
      <w:r>
        <w:rPr>
          <w:rFonts w:ascii="Calibri" w:hAnsi="Calibri"/>
          <w:b/>
          <w:i w:val="0"/>
          <w:sz w:val="21"/>
        </w:rPr>
        <w:t>Comment 2: Define all abbreviations at first use.</w:t>
      </w:r>
      <w:r>
        <w:rPr>
          <w:rFonts w:ascii="Calibri" w:hAnsi="Calibri"/>
          <w:b w:val="0"/>
          <w:i w:val="0"/>
          <w:sz w:val="21"/>
        </w:rPr>
        <w:t xml:space="preserve">  </w:t>
      </w:r>
    </w:p>
    <w:p>
      <w:pPr>
        <w:spacing w:before="40" w:after="80" w:line="276" w:lineRule="auto"/>
      </w:pPr>
      <w:r>
        <w:rPr>
          <w:rFonts w:ascii="Calibri" w:hAnsi="Calibri"/>
          <w:b/>
          <w:i w:val="0"/>
          <w:sz w:val="21"/>
        </w:rPr>
        <w:t>Response:</w:t>
      </w:r>
      <w:r>
        <w:rPr>
          <w:rFonts w:ascii="Calibri" w:hAnsi="Calibri"/>
          <w:b w:val="0"/>
          <w:i w:val="0"/>
          <w:sz w:val="21"/>
        </w:rPr>
        <w:t xml:space="preserve"> Corrected. Every acronym (SAR, GRD, IW, SCL, BOA, MNDWI, NDWI, DEM, GSW, AOI, CEMS, PR-AUC, ROC-AUC, BSS) is defined upon first appearance in the Abstract and Section 1/2.</w:t>
      </w:r>
    </w:p>
    <w:p>
      <w:pPr>
        <w:spacing w:before="40" w:after="80" w:line="276" w:lineRule="auto"/>
      </w:pPr>
      <w:r>
        <w:rPr>
          <w:rFonts w:ascii="Calibri" w:hAnsi="Calibri"/>
          <w:b/>
          <w:i w:val="0"/>
          <w:sz w:val="21"/>
        </w:rPr>
        <w:t>Comment 3: Use consistent terminology for the model and operational system.</w:t>
      </w:r>
      <w:r>
        <w:rPr>
          <w:rFonts w:ascii="Calibri" w:hAnsi="Calibri"/>
          <w:b w:val="0"/>
          <w:i w:val="0"/>
          <w:sz w:val="21"/>
        </w:rPr>
        <w:t xml:space="preserve">  </w:t>
      </w:r>
    </w:p>
    <w:p>
      <w:pPr>
        <w:spacing w:before="40" w:after="80" w:line="276" w:lineRule="auto"/>
      </w:pPr>
      <w:r>
        <w:rPr>
          <w:rFonts w:ascii="Calibri" w:hAnsi="Calibri"/>
          <w:b/>
          <w:i w:val="0"/>
          <w:sz w:val="21"/>
        </w:rPr>
        <w:t>Response:</w:t>
      </w:r>
      <w:r>
        <w:rPr>
          <w:rFonts w:ascii="Calibri" w:hAnsi="Calibri"/>
          <w:b w:val="0"/>
          <w:i w:val="0"/>
          <w:sz w:val="21"/>
        </w:rPr>
        <w:t xml:space="preserve"> Corrected. We have standardized terminology throughout: "Earth One Flood framework" refers to the multi-modal evidence fusion engine, and "tri-state contract" refers to the resolution-aware decision policy. Promotional labels have been removed.</w:t>
      </w:r>
    </w:p>
    <w:p>
      <w:pPr>
        <w:spacing w:before="40" w:after="80" w:line="276" w:lineRule="auto"/>
      </w:pPr>
      <w:r>
        <w:rPr>
          <w:rFonts w:ascii="Calibri" w:hAnsi="Calibri"/>
          <w:b/>
          <w:i w:val="0"/>
          <w:sz w:val="21"/>
        </w:rPr>
        <w:t>Comment 4: Document the complete Sentinel-1 and Sentinel-2 preprocessing workflows.</w:t>
      </w:r>
      <w:r>
        <w:rPr>
          <w:rFonts w:ascii="Calibri" w:hAnsi="Calibri"/>
          <w:b w:val="0"/>
          <w:i w:val="0"/>
          <w:sz w:val="21"/>
        </w:rPr>
        <w:t xml:space="preserve">  </w:t>
      </w:r>
    </w:p>
    <w:p>
      <w:pPr>
        <w:spacing w:before="40" w:after="80" w:line="276" w:lineRule="auto"/>
      </w:pPr>
      <w:r>
        <w:rPr>
          <w:rFonts w:ascii="Calibri" w:hAnsi="Calibri"/>
          <w:b/>
          <w:i w:val="0"/>
          <w:sz w:val="21"/>
        </w:rPr>
        <w:t>Response:</w:t>
      </w:r>
      <w:r>
        <w:rPr>
          <w:rFonts w:ascii="Calibri" w:hAnsi="Calibri"/>
          <w:b w:val="0"/>
          <w:i w:val="0"/>
          <w:sz w:val="21"/>
        </w:rPr>
        <w:t xml:space="preserve"> Detailed in Section 2.2 (page 3). Sentinel-1 processing includes orbit file application, thermal/border noise removal, radiometric calibration to </w:t>
      </w:r>
      <w:r>
        <w:rPr>
          <w:rFonts w:ascii="Cambria Math" w:hAnsi="Cambria Math"/>
          <w:i/>
          <w:sz w:val="21"/>
        </w:rPr>
        <w:t>σ⁰</w:t>
      </w:r>
      <w:r>
        <w:rPr>
          <w:rFonts w:ascii="Calibri" w:hAnsi="Calibri"/>
          <w:b w:val="0"/>
          <w:i w:val="0"/>
          <w:sz w:val="21"/>
        </w:rPr>
        <w:t xml:space="preserve">, </w:t>
      </w:r>
      <w:r>
        <w:rPr>
          <w:rFonts w:ascii="Cambria Math" w:hAnsi="Cambria Math"/>
          <w:i/>
          <w:sz w:val="21"/>
        </w:rPr>
        <w:t>3 × 3</w:t>
      </w:r>
      <w:r>
        <w:rPr>
          <w:rFonts w:ascii="Calibri" w:hAnsi="Calibri"/>
          <w:b w:val="0"/>
          <w:i w:val="0"/>
          <w:sz w:val="21"/>
        </w:rPr>
        <w:t xml:space="preserve"> Refined Lee speckle filtering, and Range-Doppler terrain correction. Sentinel-2 processing documents SCL classification and cloud masking.</w:t>
      </w:r>
    </w:p>
    <w:p>
      <w:pPr>
        <w:spacing w:before="40" w:after="80" w:line="276" w:lineRule="auto"/>
      </w:pPr>
      <w:r>
        <w:rPr>
          <w:rFonts w:ascii="Calibri" w:hAnsi="Calibri"/>
          <w:b/>
          <w:i w:val="0"/>
          <w:sz w:val="21"/>
        </w:rPr>
        <w:t>Comment 5: Explain co-registration and resampling among all input datasets.</w:t>
      </w:r>
      <w:r>
        <w:rPr>
          <w:rFonts w:ascii="Calibri" w:hAnsi="Calibri"/>
          <w:b w:val="0"/>
          <w:i w:val="0"/>
          <w:sz w:val="21"/>
        </w:rPr>
        <w:t xml:space="preserve">  </w:t>
      </w:r>
    </w:p>
    <w:p>
      <w:pPr>
        <w:spacing w:before="40" w:after="80" w:line="276" w:lineRule="auto"/>
      </w:pPr>
      <w:r>
        <w:rPr>
          <w:rFonts w:ascii="Calibri" w:hAnsi="Calibri"/>
          <w:b/>
          <w:i w:val="0"/>
          <w:sz w:val="21"/>
        </w:rPr>
        <w:t>Response:</w:t>
      </w:r>
      <w:r>
        <w:rPr>
          <w:rFonts w:ascii="Calibri" w:hAnsi="Calibri"/>
          <w:b w:val="0"/>
          <w:i w:val="0"/>
          <w:sz w:val="21"/>
        </w:rPr>
        <w:t xml:space="preserve"> Documented in Section 2.2. All raster inputs (Sentinel-1 SAR, Sentinel-2 optical, Copernicus DEM GLO-30, and JRC GSW) were projected to WGS 84 (EPSG:4326) and bilinearly resampled to a common </w:t>
      </w:r>
      <w:r>
        <w:rPr>
          <w:rFonts w:ascii="Cambria Math" w:hAnsi="Cambria Math"/>
          <w:i/>
          <w:sz w:val="21"/>
        </w:rPr>
        <w:t>20 m</w:t>
      </w:r>
      <w:r>
        <w:rPr>
          <w:rFonts w:ascii="Calibri" w:hAnsi="Calibri"/>
          <w:b w:val="0"/>
          <w:i w:val="0"/>
          <w:sz w:val="21"/>
        </w:rPr>
        <w:t xml:space="preserve"> pixel resolution (</w:t>
      </w:r>
      <w:r>
        <w:rPr>
          <w:rFonts w:ascii="Cambria Math" w:hAnsi="Cambria Math"/>
          <w:i/>
          <w:sz w:val="21"/>
        </w:rPr>
        <w:t>512 × 512</w:t>
      </w:r>
      <w:r>
        <w:rPr>
          <w:rFonts w:ascii="Calibri" w:hAnsi="Calibri"/>
          <w:b w:val="0"/>
          <w:i w:val="0"/>
          <w:sz w:val="21"/>
        </w:rPr>
        <w:t xml:space="preserve"> computational grid; </w:t>
      </w:r>
      <w:r>
        <w:rPr>
          <w:rFonts w:ascii="Cambria Math" w:hAnsi="Cambria Math"/>
          <w:i/>
          <w:sz w:val="21"/>
        </w:rPr>
        <w:t>104.85 km^2</w:t>
      </w:r>
      <w:r>
        <w:rPr>
          <w:rFonts w:ascii="Calibri" w:hAnsi="Calibri"/>
          <w:b w:val="0"/>
          <w:i w:val="0"/>
          <w:sz w:val="21"/>
        </w:rPr>
        <w:t xml:space="preserve"> per activation).</w:t>
      </w:r>
    </w:p>
    <w:p>
      <w:pPr>
        <w:spacing w:before="40" w:after="80" w:line="276" w:lineRule="auto"/>
      </w:pPr>
      <w:r>
        <w:rPr>
          <w:rFonts w:ascii="Calibri" w:hAnsi="Calibri"/>
          <w:b/>
          <w:i w:val="0"/>
          <w:sz w:val="21"/>
        </w:rPr>
        <w:t>Comment 6: Define the pre-event baseline and flood-peak reference period.</w:t>
      </w:r>
      <w:r>
        <w:rPr>
          <w:rFonts w:ascii="Calibri" w:hAnsi="Calibri"/>
          <w:b w:val="0"/>
          <w:i w:val="0"/>
          <w:sz w:val="21"/>
        </w:rPr>
        <w:t xml:space="preserve">  </w:t>
      </w:r>
    </w:p>
    <w:p>
      <w:pPr>
        <w:spacing w:before="40" w:after="80" w:line="276" w:lineRule="auto"/>
      </w:pPr>
      <w:r>
        <w:rPr>
          <w:rFonts w:ascii="Calibri" w:hAnsi="Calibri"/>
          <w:b/>
          <w:i w:val="0"/>
          <w:sz w:val="21"/>
        </w:rPr>
        <w:t>Response:</w:t>
      </w:r>
      <w:r>
        <w:rPr>
          <w:rFonts w:ascii="Calibri" w:hAnsi="Calibri"/>
          <w:b w:val="0"/>
          <w:i w:val="0"/>
          <w:sz w:val="21"/>
        </w:rPr>
        <w:t xml:space="preserve"> Documented in Section 2.2 and Table 1. Pre-event baseline scenes were acquired during the lowest-water dry season (</w:t>
      </w:r>
      <w:r>
        <w:rPr>
          <w:rFonts w:ascii="Cambria Math" w:hAnsi="Cambria Math"/>
          <w:i/>
          <w:sz w:val="21"/>
        </w:rPr>
        <w:t>15–90</w:t>
      </w:r>
      <w:r>
        <w:rPr>
          <w:rFonts w:ascii="Calibri" w:hAnsi="Calibri"/>
          <w:b w:val="0"/>
          <w:i w:val="0"/>
          <w:sz w:val="21"/>
        </w:rPr>
        <w:t xml:space="preserve"> days prior to flood peak). Event scenes were acquired within </w:t>
      </w:r>
      <w:r>
        <w:rPr>
          <w:rFonts w:ascii="Cambria Math" w:hAnsi="Cambria Math"/>
          <w:i/>
          <w:sz w:val="21"/>
        </w:rPr>
        <w:t>± 72 hours</w:t>
      </w:r>
      <w:r>
        <w:rPr>
          <w:rFonts w:ascii="Calibri" w:hAnsi="Calibri"/>
          <w:b w:val="0"/>
          <w:i w:val="0"/>
          <w:sz w:val="21"/>
        </w:rPr>
        <w:t xml:space="preserve"> of peak delineation, with exact timestamps and temporal lags (</w:t>
      </w:r>
      <w:r>
        <w:rPr>
          <w:rFonts w:ascii="Cambria Math" w:hAnsi="Cambria Math"/>
          <w:i/>
          <w:sz w:val="21"/>
        </w:rPr>
        <w:t>Δ t = 4.2–36.2 h</w:t>
      </w:r>
      <w:r>
        <w:rPr>
          <w:rFonts w:ascii="Calibri" w:hAnsi="Calibri"/>
          <w:b w:val="0"/>
          <w:i w:val="0"/>
          <w:sz w:val="21"/>
        </w:rPr>
        <w:t>) listed in Table 1.</w:t>
      </w:r>
    </w:p>
    <w:p>
      <w:pPr>
        <w:spacing w:before="40" w:after="80" w:line="276" w:lineRule="auto"/>
      </w:pPr>
      <w:r>
        <w:rPr>
          <w:rFonts w:ascii="Calibri" w:hAnsi="Calibri"/>
          <w:b/>
          <w:i w:val="0"/>
          <w:sz w:val="21"/>
        </w:rPr>
        <w:t>Comment 7: Clarify the three-, five-, and seven-event cohorts.</w:t>
      </w:r>
      <w:r>
        <w:rPr>
          <w:rFonts w:ascii="Calibri" w:hAnsi="Calibri"/>
          <w:b w:val="0"/>
          <w:i w:val="0"/>
          <w:sz w:val="21"/>
        </w:rPr>
        <w:t xml:space="preserve">  </w:t>
      </w:r>
    </w:p>
    <w:p>
      <w:pPr>
        <w:spacing w:before="40" w:after="80" w:line="276" w:lineRule="auto"/>
      </w:pPr>
      <w:r>
        <w:rPr>
          <w:rFonts w:ascii="Calibri" w:hAnsi="Calibri"/>
          <w:b/>
          <w:i w:val="0"/>
          <w:sz w:val="21"/>
        </w:rPr>
        <w:t>Response:</w:t>
      </w:r>
      <w:r>
        <w:rPr>
          <w:rFonts w:ascii="Calibri" w:hAnsi="Calibri"/>
          <w:b w:val="0"/>
          <w:i w:val="0"/>
          <w:sz w:val="21"/>
        </w:rPr>
        <w:t xml:space="preserve"> Replaced by a definitive, non-overlapping partitioning structure (Section 2.1, Table 1): a three-event Development Cohort (</w:t>
      </w:r>
      <w:r>
        <w:rPr>
          <w:rFonts w:ascii="Cambria Math" w:hAnsi="Cambria Math"/>
          <w:i/>
          <w:sz w:val="21"/>
        </w:rPr>
        <w:t>N=3</w:t>
      </w:r>
      <w:r>
        <w:rPr>
          <w:rFonts w:ascii="Calibri" w:hAnsi="Calibri"/>
          <w:b w:val="0"/>
          <w:i w:val="0"/>
          <w:sz w:val="21"/>
        </w:rPr>
        <w:t>: EMSR439, EMSR629, EMSR548) and an eight-event Held-Out Validation Pool (</w:t>
      </w:r>
      <w:r>
        <w:rPr>
          <w:rFonts w:ascii="Cambria Math" w:hAnsi="Cambria Math"/>
          <w:i/>
          <w:sz w:val="21"/>
        </w:rPr>
        <w:t>N=8</w:t>
      </w:r>
      <w:r>
        <w:rPr>
          <w:rFonts w:ascii="Calibri" w:hAnsi="Calibri"/>
          <w:b w:val="0"/>
          <w:i w:val="0"/>
          <w:sz w:val="21"/>
        </w:rPr>
        <w:t>: EMSR348, EMSR468, EMSR517, EMSR464, EMSR357, EMSR445, EMSR567, EMSR286).</w:t>
      </w:r>
    </w:p>
    <w:p>
      <w:pPr>
        <w:spacing w:before="40" w:after="80" w:line="276" w:lineRule="auto"/>
      </w:pPr>
      <w:r>
        <w:rPr>
          <w:rFonts w:ascii="Calibri" w:hAnsi="Calibri"/>
          <w:b/>
          <w:i w:val="0"/>
          <w:sz w:val="21"/>
        </w:rPr>
        <w:t>Comment 8: Report confusion-matrix counts for each event and observability bin.</w:t>
      </w:r>
      <w:r>
        <w:rPr>
          <w:rFonts w:ascii="Calibri" w:hAnsi="Calibri"/>
          <w:b w:val="0"/>
          <w:i w:val="0"/>
          <w:sz w:val="21"/>
        </w:rPr>
        <w:t xml:space="preserve">  </w:t>
      </w:r>
    </w:p>
    <w:p>
      <w:pPr>
        <w:spacing w:before="40" w:after="80" w:line="276" w:lineRule="auto"/>
      </w:pPr>
      <w:r>
        <w:rPr>
          <w:rFonts w:ascii="Calibri" w:hAnsi="Calibri"/>
          <w:b/>
          <w:i w:val="0"/>
          <w:sz w:val="21"/>
        </w:rPr>
        <w:t>Response:</w:t>
      </w:r>
      <w:r>
        <w:rPr>
          <w:rFonts w:ascii="Calibri" w:hAnsi="Calibri"/>
          <w:b w:val="0"/>
          <w:i w:val="0"/>
          <w:sz w:val="21"/>
        </w:rPr>
        <w:t xml:space="preserve"> Reported in full. Table 2b reports </w:t>
      </w:r>
      <w:r>
        <w:rPr>
          <w:rFonts w:ascii="Cambria Math" w:hAnsi="Cambria Math"/>
          <w:i/>
          <w:sz w:val="21"/>
        </w:rPr>
        <w:t>TP, FP, FN, TN</w:t>
      </w:r>
      <w:r>
        <w:rPr>
          <w:rFonts w:ascii="Calibri" w:hAnsi="Calibri"/>
          <w:b w:val="0"/>
          <w:i w:val="0"/>
          <w:sz w:val="21"/>
        </w:rPr>
        <w:t>, precision, recall, F1, IoU, and area bias for every single event. Table 3 reports pixel counts, positive prevalence, Brier scores, and Brier Skill Scores across all five observability bins.</w:t>
      </w:r>
    </w:p>
    <w:p>
      <w:pPr>
        <w:spacing w:before="40" w:after="80" w:line="276" w:lineRule="auto"/>
      </w:pPr>
      <w:r>
        <w:rPr>
          <w:rFonts w:ascii="Calibri" w:hAnsi="Calibri"/>
          <w:b/>
          <w:i w:val="0"/>
          <w:sz w:val="21"/>
        </w:rPr>
        <w:t>Comment 9: Report precision as undefined when no positive prediction is made.</w:t>
      </w:r>
      <w:r>
        <w:rPr>
          <w:rFonts w:ascii="Calibri" w:hAnsi="Calibri"/>
          <w:b w:val="0"/>
          <w:i w:val="0"/>
          <w:sz w:val="21"/>
        </w:rPr>
        <w:t xml:space="preserve">  </w:t>
      </w:r>
    </w:p>
    <w:p>
      <w:pPr>
        <w:spacing w:before="40" w:after="80" w:line="276" w:lineRule="auto"/>
      </w:pPr>
      <w:r>
        <w:rPr>
          <w:rFonts w:ascii="Calibri" w:hAnsi="Calibri"/>
          <w:b/>
          <w:i w:val="0"/>
          <w:sz w:val="21"/>
        </w:rPr>
        <w:t>Response:</w:t>
      </w:r>
      <w:r>
        <w:rPr>
          <w:rFonts w:ascii="Calibri" w:hAnsi="Calibri"/>
          <w:b w:val="0"/>
          <w:i w:val="0"/>
          <w:sz w:val="21"/>
        </w:rPr>
        <w:t xml:space="preserve"> Corrected. In Table 2b (EMSR445 Ukraine) and Table 3 (Bin 1, </w:t>
      </w:r>
      <w:r>
        <w:rPr>
          <w:rFonts w:ascii="Cambria Math" w:hAnsi="Cambria Math"/>
          <w:i/>
          <w:sz w:val="21"/>
        </w:rPr>
        <w:t>O &lt; 0.20</w:t>
      </w:r>
      <w:r>
        <w:rPr>
          <w:rFonts w:ascii="Calibri" w:hAnsi="Calibri"/>
          <w:b w:val="0"/>
          <w:i w:val="0"/>
          <w:sz w:val="21"/>
        </w:rPr>
        <w:t>), where zero positive predictions were emitted, precision is explicitly denoted as "Undef." (</w:t>
      </w:r>
      <w:r>
        <w:rPr>
          <w:rFonts w:ascii="Cambria Math" w:hAnsi="Cambria Math"/>
          <w:i/>
          <w:sz w:val="21"/>
        </w:rPr>
        <w:t>0/0</w:t>
      </w:r>
      <w:r>
        <w:rPr>
          <w:rFonts w:ascii="Calibri" w:hAnsi="Calibri"/>
          <w:b w:val="0"/>
          <w:i w:val="0"/>
          <w:sz w:val="21"/>
        </w:rPr>
        <w:t>) and omitted from correlation calculations.</w:t>
      </w:r>
    </w:p>
    <w:p>
      <w:pPr>
        <w:spacing w:before="40" w:after="80" w:line="276" w:lineRule="auto"/>
      </w:pPr>
      <w:r>
        <w:rPr>
          <w:rFonts w:ascii="Calibri" w:hAnsi="Calibri"/>
          <w:b/>
          <w:i w:val="0"/>
          <w:sz w:val="21"/>
        </w:rPr>
        <w:t>Comment 10: Verify the equations, citations, DOI links, numerical results, and supplementary records.</w:t>
      </w:r>
      <w:r>
        <w:rPr>
          <w:rFonts w:ascii="Calibri" w:hAnsi="Calibri"/>
          <w:b w:val="0"/>
          <w:i w:val="0"/>
          <w:sz w:val="21"/>
        </w:rPr>
        <w:t xml:space="preserve">  </w:t>
      </w:r>
    </w:p>
    <w:p>
      <w:pPr>
        <w:spacing w:before="40" w:after="80" w:line="276" w:lineRule="auto"/>
      </w:pPr>
      <w:r>
        <w:rPr>
          <w:rFonts w:ascii="Calibri" w:hAnsi="Calibri"/>
          <w:b/>
          <w:i w:val="0"/>
          <w:sz w:val="21"/>
        </w:rPr>
        <w:t>Response:</w:t>
      </w:r>
      <w:r>
        <w:rPr>
          <w:rFonts w:ascii="Calibri" w:hAnsi="Calibri"/>
          <w:b w:val="0"/>
          <w:i w:val="0"/>
          <w:sz w:val="21"/>
        </w:rPr>
        <w:t xml:space="preserve"> Thoroughly audited and verified. All equations are fully grouped; all citations and DOIs verified; all confusion matrix counts (</w:t>
      </w:r>
      <w:r>
        <w:rPr>
          <w:rFonts w:ascii="Cambria Math" w:hAnsi="Cambria Math"/>
          <w:i/>
          <w:sz w:val="21"/>
        </w:rPr>
        <w:t>TP, FP, FN, TN</w:t>
      </w:r>
      <w:r>
        <w:rPr>
          <w:rFonts w:ascii="Calibri" w:hAnsi="Calibri"/>
          <w:b w:val="0"/>
          <w:i w:val="0"/>
          <w:sz w:val="21"/>
        </w:rPr>
        <w:t>) mathematically sum to the full tile footprint (</w:t>
      </w:r>
      <w:r>
        <w:rPr>
          <w:rFonts w:ascii="Cambria Math" w:hAnsi="Cambria Math"/>
          <w:i/>
          <w:sz w:val="21"/>
        </w:rPr>
        <w:t>2,097,152</w:t>
      </w:r>
      <w:r>
        <w:rPr>
          <w:rFonts w:ascii="Calibri" w:hAnsi="Calibri"/>
          <w:b w:val="0"/>
          <w:i w:val="0"/>
          <w:sz w:val="21"/>
        </w:rPr>
        <w:t xml:space="preserve"> pixels); and Figure 3 raster counts match Table 2a (</w:t>
      </w:r>
      <w:r>
        <w:rPr>
          <w:rFonts w:ascii="Cambria Math" w:hAnsi="Cambria Math"/>
          <w:i/>
          <w:sz w:val="21"/>
        </w:rPr>
        <w:t>134,923</w:t>
      </w:r>
      <w:r>
        <w:rPr>
          <w:rFonts w:ascii="Calibri" w:hAnsi="Calibri"/>
          <w:b w:val="0"/>
          <w:i w:val="0"/>
          <w:sz w:val="21"/>
        </w:rPr>
        <w:t xml:space="preserve">, </w:t>
      </w:r>
      <w:r>
        <w:rPr>
          <w:rFonts w:ascii="Cambria Math" w:hAnsi="Cambria Math"/>
          <w:i/>
          <w:sz w:val="21"/>
        </w:rPr>
        <w:t>1,529</w:t>
      </w:r>
      <w:r>
        <w:rPr>
          <w:rFonts w:ascii="Calibri" w:hAnsi="Calibri"/>
          <w:b w:val="0"/>
          <w:i w:val="0"/>
          <w:sz w:val="21"/>
        </w:rPr>
        <w:t xml:space="preserve">, </w:t>
      </w:r>
      <w:r>
        <w:rPr>
          <w:rFonts w:ascii="Cambria Math" w:hAnsi="Cambria Math"/>
          <w:i/>
          <w:sz w:val="21"/>
        </w:rPr>
        <w:t>37,258</w:t>
      </w:r>
      <w:r>
        <w:rPr>
          <w:rFonts w:ascii="Calibri" w:hAnsi="Calibri"/>
          <w:b w:val="0"/>
          <w:i w:val="0"/>
          <w:sz w:val="21"/>
        </w:rPr>
        <w:t>).</w:t>
      </w:r>
    </w:p>
    <w:p>
      <w:pPr>
        <w:spacing w:before="40" w:after="80" w:line="276" w:lineRule="auto"/>
      </w:pPr>
      <w:r>
        <w:rPr>
          <w:rFonts w:ascii="Calibri" w:hAnsi="Calibri"/>
          <w:b/>
          <w:i w:val="0"/>
          <w:sz w:val="21"/>
        </w:rPr>
        <w:t>Comment 11: Remove repetitive and promotional wording.</w:t>
      </w:r>
      <w:r>
        <w:rPr>
          <w:rFonts w:ascii="Calibri" w:hAnsi="Calibri"/>
          <w:b w:val="0"/>
          <w:i w:val="0"/>
          <w:sz w:val="21"/>
        </w:rPr>
        <w:t xml:space="preserve">  </w:t>
      </w:r>
    </w:p>
    <w:p>
      <w:pPr>
        <w:spacing w:before="40" w:after="80" w:line="276" w:lineRule="auto"/>
      </w:pPr>
      <w:r>
        <w:rPr>
          <w:rFonts w:ascii="Calibri" w:hAnsi="Calibri"/>
          <w:b/>
          <w:i w:val="0"/>
          <w:sz w:val="21"/>
        </w:rPr>
        <w:t>Response:</w:t>
      </w:r>
      <w:r>
        <w:rPr>
          <w:rFonts w:ascii="Calibri" w:hAnsi="Calibri"/>
          <w:b w:val="0"/>
          <w:i w:val="0"/>
          <w:sz w:val="21"/>
        </w:rPr>
        <w:t xml:space="preserve"> Corrected. Words such as "safe," "independent," "defendable," "proves," and "autonomous proof" have been removed or replaced with objective scientific terminology ("indicates," "demonstrates," "objective decision policy").</w:t>
      </w:r>
    </w:p>
    <w:p>
      <w:pPr>
        <w:spacing w:before="120" w:after="120"/>
      </w:pPr>
      <w:r>
        <w:rPr>
          <w:color w:val="94A3B8"/>
        </w:rPr>
        <w:t>――――――――――――――――――――――――――――――――――――――――――――――――――</w:t>
      </w:r>
    </w:p>
    <w:p>
      <w:pPr>
        <w:spacing w:before="200" w:after="80"/>
      </w:pPr>
      <w:r>
        <w:rPr>
          <w:rFonts w:ascii="Calibri" w:hAnsi="Calibri"/>
          <w:b/>
          <w:i w:val="0"/>
          <w:color w:val="0369A1"/>
          <w:sz w:val="24"/>
        </w:rPr>
        <w:t>Reviewer 3 Major Comments &amp; Checklist</w:t>
      </w:r>
    </w:p>
    <w:p>
      <w:pPr>
        <w:spacing w:before="20" w:after="40"/>
        <w:ind w:left="432" w:hanging="432"/>
      </w:pPr>
      <w:r>
        <w:rPr>
          <w:rFonts w:ascii="Calibri" w:hAnsi="Calibri"/>
          <w:b/>
          <w:sz w:val="21"/>
        </w:rPr>
        <w:t xml:space="preserve">1. </w:t>
      </w:r>
      <w:r>
        <w:rPr>
          <w:rFonts w:ascii="Calibri" w:hAnsi="Calibri"/>
          <w:b/>
          <w:i w:val="0"/>
          <w:sz w:val="21"/>
        </w:rPr>
        <w:t>Testable hypothesis:</w:t>
      </w:r>
      <w:r>
        <w:rPr>
          <w:rFonts w:ascii="Calibri" w:hAnsi="Calibri"/>
          <w:b w:val="0"/>
          <w:i w:val="0"/>
          <w:sz w:val="21"/>
        </w:rPr>
        <w:t xml:space="preserve"> Stated explicitly in Section 1 and tested across eight held-out events.</w:t>
      </w:r>
    </w:p>
    <w:p>
      <w:pPr>
        <w:spacing w:before="20" w:after="40"/>
        <w:ind w:left="432" w:hanging="432"/>
      </w:pPr>
      <w:r>
        <w:rPr>
          <w:rFonts w:ascii="Calibri" w:hAnsi="Calibri"/>
          <w:b/>
          <w:sz w:val="21"/>
        </w:rPr>
        <w:t xml:space="preserve">2. </w:t>
      </w:r>
      <w:r>
        <w:rPr>
          <w:rFonts w:ascii="Calibri" w:hAnsi="Calibri"/>
          <w:b/>
          <w:i w:val="0"/>
          <w:sz w:val="21"/>
        </w:rPr>
        <w:t>Baselines &amp; Risk-Coverage:</w:t>
      </w:r>
      <w:r>
        <w:rPr>
          <w:rFonts w:ascii="Calibri" w:hAnsi="Calibri"/>
          <w:b w:val="0"/>
          <w:i w:val="0"/>
          <w:sz w:val="21"/>
        </w:rPr>
        <w:t xml:space="preserve"> Provided in Table 4 and Figure 5.</w:t>
      </w:r>
    </w:p>
    <w:p>
      <w:pPr>
        <w:spacing w:before="20" w:after="40"/>
        <w:ind w:left="432" w:hanging="432"/>
      </w:pPr>
      <w:r>
        <w:rPr>
          <w:rFonts w:ascii="Calibri" w:hAnsi="Calibri"/>
          <w:b/>
          <w:sz w:val="21"/>
        </w:rPr>
        <w:t xml:space="preserve">3. </w:t>
      </w:r>
      <w:r>
        <w:rPr>
          <w:rFonts w:ascii="Calibri" w:hAnsi="Calibri"/>
          <w:b/>
          <w:i w:val="0"/>
          <w:sz w:val="21"/>
        </w:rPr>
        <w:t>Reproducibility:</w:t>
      </w:r>
      <w:r>
        <w:rPr>
          <w:rFonts w:ascii="Calibri" w:hAnsi="Calibri"/>
          <w:b w:val="0"/>
          <w:i w:val="0"/>
          <w:sz w:val="21"/>
        </w:rPr>
        <w:t xml:space="preserve"> All equations, scaling factors, and fallback rules fully written out.</w:t>
      </w:r>
    </w:p>
    <w:p>
      <w:pPr>
        <w:spacing w:before="20" w:after="40"/>
        <w:ind w:left="432" w:hanging="432"/>
      </w:pPr>
      <w:r>
        <w:rPr>
          <w:rFonts w:ascii="Calibri" w:hAnsi="Calibri"/>
          <w:b/>
          <w:sz w:val="21"/>
        </w:rPr>
        <w:t xml:space="preserve">4. </w:t>
      </w:r>
      <w:r>
        <w:rPr>
          <w:rFonts w:ascii="Calibri" w:hAnsi="Calibri"/>
          <w:b/>
          <w:i w:val="0"/>
          <w:sz w:val="21"/>
        </w:rPr>
        <w:t>Mutually consistent cohorts:</w:t>
      </w:r>
      <w:r>
        <w:rPr>
          <w:rFonts w:ascii="Calibri" w:hAnsi="Calibri"/>
          <w:b w:val="0"/>
          <w:i w:val="0"/>
          <w:sz w:val="21"/>
        </w:rPr>
        <w:t xml:space="preserve"> Fixed via the </w:t>
      </w:r>
      <w:r>
        <w:rPr>
          <w:rFonts w:ascii="Cambria Math" w:hAnsi="Cambria Math"/>
          <w:i/>
          <w:sz w:val="21"/>
        </w:rPr>
        <w:t>3</w:t>
      </w:r>
      <w:r>
        <w:rPr>
          <w:rFonts w:ascii="Calibri" w:hAnsi="Calibri"/>
          <w:b w:val="0"/>
          <w:i w:val="0"/>
          <w:sz w:val="21"/>
        </w:rPr>
        <w:t xml:space="preserve"> development vs </w:t>
      </w:r>
      <w:r>
        <w:rPr>
          <w:rFonts w:ascii="Cambria Math" w:hAnsi="Cambria Math"/>
          <w:i/>
          <w:sz w:val="21"/>
        </w:rPr>
        <w:t>8</w:t>
      </w:r>
      <w:r>
        <w:rPr>
          <w:rFonts w:ascii="Calibri" w:hAnsi="Calibri"/>
          <w:b w:val="0"/>
          <w:i w:val="0"/>
          <w:sz w:val="21"/>
        </w:rPr>
        <w:t xml:space="preserve"> held-out validation structure.</w:t>
      </w:r>
    </w:p>
    <w:p>
      <w:pPr>
        <w:spacing w:before="20" w:after="40"/>
        <w:ind w:left="432" w:hanging="432"/>
      </w:pPr>
      <w:r>
        <w:rPr>
          <w:rFonts w:ascii="Calibri" w:hAnsi="Calibri"/>
          <w:b/>
          <w:sz w:val="21"/>
        </w:rPr>
        <w:t xml:space="preserve">5. </w:t>
      </w:r>
      <w:r>
        <w:rPr>
          <w:rFonts w:ascii="Calibri" w:hAnsi="Calibri"/>
          <w:b/>
          <w:i w:val="0"/>
          <w:sz w:val="21"/>
        </w:rPr>
        <w:t>Reference data provenance:</w:t>
      </w:r>
      <w:r>
        <w:rPr>
          <w:rFonts w:ascii="Calibri" w:hAnsi="Calibri"/>
          <w:b w:val="0"/>
          <w:i w:val="0"/>
          <w:sz w:val="21"/>
        </w:rPr>
        <w:t xml:space="preserve"> CEMS vector product IDs, dates, sensors, and lags detailed in Table 1.</w:t>
      </w:r>
    </w:p>
    <w:p>
      <w:pPr>
        <w:spacing w:before="20" w:after="40"/>
        <w:ind w:left="432" w:hanging="432"/>
      </w:pPr>
      <w:r>
        <w:rPr>
          <w:rFonts w:ascii="Calibri" w:hAnsi="Calibri"/>
          <w:b/>
          <w:sz w:val="21"/>
        </w:rPr>
        <w:t xml:space="preserve">6. </w:t>
      </w:r>
      <w:r>
        <w:rPr>
          <w:rFonts w:ascii="Calibri" w:hAnsi="Calibri"/>
          <w:b/>
          <w:i w:val="0"/>
          <w:sz w:val="21"/>
        </w:rPr>
        <w:t>Full event-level metrics:</w:t>
      </w:r>
      <w:r>
        <w:rPr>
          <w:rFonts w:ascii="Calibri" w:hAnsi="Calibri"/>
          <w:b w:val="0"/>
          <w:i w:val="0"/>
          <w:sz w:val="21"/>
        </w:rPr>
        <w:t xml:space="preserve"> Complete confusion matrices (</w:t>
      </w:r>
      <w:r>
        <w:rPr>
          <w:rFonts w:ascii="Cambria Math" w:hAnsi="Cambria Math"/>
          <w:i/>
          <w:sz w:val="21"/>
        </w:rPr>
        <w:t>TP, FP, FN, TN</w:t>
      </w:r>
      <w:r>
        <w:rPr>
          <w:rFonts w:ascii="Calibri" w:hAnsi="Calibri"/>
          <w:b w:val="0"/>
          <w:i w:val="0"/>
          <w:sz w:val="21"/>
        </w:rPr>
        <w:t>), IoU, area bias, and CIs provided in Table 2b.</w:t>
      </w:r>
    </w:p>
    <w:p>
      <w:pPr>
        <w:spacing w:before="20" w:after="40"/>
        <w:ind w:left="432" w:hanging="432"/>
      </w:pPr>
      <w:r>
        <w:rPr>
          <w:rFonts w:ascii="Calibri" w:hAnsi="Calibri"/>
          <w:b/>
          <w:sz w:val="21"/>
        </w:rPr>
        <w:t xml:space="preserve">7. </w:t>
      </w:r>
      <w:r>
        <w:rPr>
          <w:rFonts w:ascii="Calibri" w:hAnsi="Calibri"/>
          <w:b/>
          <w:i w:val="0"/>
          <w:sz w:val="21"/>
        </w:rPr>
        <w:t>Spatial autocorrelation:</w:t>
      </w:r>
      <w:r>
        <w:rPr>
          <w:rFonts w:ascii="Calibri" w:hAnsi="Calibri"/>
          <w:b w:val="0"/>
          <w:i w:val="0"/>
          <w:sz w:val="21"/>
        </w:rPr>
        <w:t xml:space="preserve"> Semivariogram range (</w:t>
      </w:r>
      <w:r>
        <w:rPr>
          <w:rFonts w:ascii="Cambria Math" w:hAnsi="Cambria Math"/>
          <w:i/>
          <w:sz w:val="21"/>
        </w:rPr>
        <w:t>~ 500 m</w:t>
      </w:r>
      <w:r>
        <w:rPr>
          <w:rFonts w:ascii="Calibri" w:hAnsi="Calibri"/>
          <w:b w:val="0"/>
          <w:i w:val="0"/>
          <w:sz w:val="21"/>
        </w:rPr>
        <w:t xml:space="preserve">) used to justify </w:t>
      </w:r>
      <w:r>
        <w:rPr>
          <w:rFonts w:ascii="Cambria Math" w:hAnsi="Cambria Math"/>
          <w:i/>
          <w:sz w:val="21"/>
        </w:rPr>
        <w:t>640 × 640 m</w:t>
      </w:r>
      <w:r>
        <w:rPr>
          <w:rFonts w:ascii="Calibri" w:hAnsi="Calibri"/>
          <w:b w:val="0"/>
          <w:i w:val="0"/>
          <w:sz w:val="21"/>
        </w:rPr>
        <w:t xml:space="preserve"> bootstrap blocks.</w:t>
      </w:r>
    </w:p>
    <w:p>
      <w:pPr>
        <w:spacing w:before="20" w:after="40"/>
        <w:ind w:left="432" w:hanging="432"/>
      </w:pPr>
      <w:r>
        <w:rPr>
          <w:rFonts w:ascii="Calibri" w:hAnsi="Calibri"/>
          <w:b/>
          <w:sz w:val="21"/>
        </w:rPr>
        <w:t xml:space="preserve">8. </w:t>
      </w:r>
      <w:r>
        <w:rPr>
          <w:rFonts w:ascii="Calibri" w:hAnsi="Calibri"/>
          <w:b/>
          <w:i w:val="0"/>
          <w:sz w:val="21"/>
        </w:rPr>
        <w:t>Circularity &amp; dependency:</w:t>
      </w:r>
      <w:r>
        <w:rPr>
          <w:rFonts w:ascii="Calibri" w:hAnsi="Calibri"/>
          <w:b w:val="0"/>
          <w:i w:val="0"/>
          <w:sz w:val="21"/>
        </w:rPr>
        <w:t xml:space="preserve"> Dependency diagram (Figure 1) and component ablation (Table 4) supplied.</w:t>
      </w:r>
    </w:p>
    <w:p>
      <w:pPr>
        <w:spacing w:before="20" w:after="40"/>
        <w:ind w:left="432" w:hanging="432"/>
      </w:pPr>
      <w:r>
        <w:rPr>
          <w:rFonts w:ascii="Calibri" w:hAnsi="Calibri"/>
          <w:b/>
          <w:sz w:val="21"/>
        </w:rPr>
        <w:t xml:space="preserve">9. </w:t>
      </w:r>
      <w:r>
        <w:rPr>
          <w:rFonts w:ascii="Calibri" w:hAnsi="Calibri"/>
          <w:b/>
          <w:i w:val="0"/>
          <w:sz w:val="21"/>
        </w:rPr>
        <w:t>Operational separation:</w:t>
      </w:r>
      <w:r>
        <w:rPr>
          <w:rFonts w:ascii="Calibri" w:hAnsi="Calibri"/>
          <w:b w:val="0"/>
          <w:i w:val="0"/>
          <w:sz w:val="21"/>
        </w:rPr>
        <w:t xml:space="preserve"> Software metrics isolated in Section 3.5.</w:t>
      </w:r>
    </w:p>
    <w:p>
      <w:pPr>
        <w:spacing w:before="20" w:after="40"/>
        <w:ind w:left="432" w:hanging="432"/>
      </w:pPr>
      <w:r>
        <w:rPr>
          <w:rFonts w:ascii="Calibri" w:hAnsi="Calibri"/>
          <w:b/>
          <w:sz w:val="21"/>
        </w:rPr>
        <w:t xml:space="preserve">10. </w:t>
      </w:r>
      <w:r>
        <w:rPr>
          <w:rFonts w:ascii="Calibri" w:hAnsi="Calibri"/>
          <w:b/>
          <w:i w:val="0"/>
          <w:sz w:val="21"/>
        </w:rPr>
        <w:t>Reproducibility package:</w:t>
      </w:r>
      <w:r>
        <w:rPr>
          <w:rFonts w:ascii="Calibri" w:hAnsi="Calibri"/>
          <w:b w:val="0"/>
          <w:i w:val="0"/>
          <w:sz w:val="21"/>
        </w:rPr>
        <w:t xml:space="preserve"> Open Zenodo DOIs (Data: </w:t>
      </w:r>
      <w:r>
        <w:rPr>
          <w:rFonts w:ascii="Consolas" w:hAnsi="Consolas"/>
          <w:color w:val="8B0000"/>
          <w:sz w:val="19"/>
        </w:rPr>
        <w:t>10.5281/zenodo.22079753</w:t>
      </w:r>
      <w:r>
        <w:rPr>
          <w:rFonts w:ascii="Calibri" w:hAnsi="Calibri"/>
          <w:b w:val="0"/>
          <w:i w:val="0"/>
          <w:sz w:val="21"/>
        </w:rPr>
        <w:t xml:space="preserve">; Code: </w:t>
      </w:r>
      <w:r>
        <w:rPr>
          <w:rFonts w:ascii="Consolas" w:hAnsi="Consolas"/>
          <w:color w:val="8B0000"/>
          <w:sz w:val="19"/>
        </w:rPr>
        <w:t>10.5281/zenodo.22079754</w:t>
      </w:r>
      <w:r>
        <w:rPr>
          <w:rFonts w:ascii="Calibri" w:hAnsi="Calibri"/>
          <w:b w:val="0"/>
          <w:i w:val="0"/>
          <w:sz w:val="21"/>
        </w:rPr>
        <w:t>) and GitHub repository provided.</w:t>
      </w:r>
    </w:p>
    <w:p>
      <w:pPr>
        <w:spacing w:before="120" w:after="120"/>
      </w:pPr>
      <w:r>
        <w:rPr>
          <w:color w:val="94A3B8"/>
        </w:rPr>
        <w:t>――――――――――――――――――――――――――――――――――――――――――――――――――</w:t>
      </w:r>
    </w:p>
    <w:p>
      <w:pPr>
        <w:spacing w:before="40" w:after="80" w:line="276" w:lineRule="auto"/>
      </w:pPr>
      <w:r>
        <w:rPr>
          <w:rFonts w:ascii="Calibri" w:hAnsi="Calibri"/>
          <w:b w:val="0"/>
          <w:i w:val="0"/>
          <w:sz w:val="21"/>
        </w:rPr>
        <w:t xml:space="preserve">Sincerely,  </w:t>
      </w:r>
    </w:p>
    <w:p>
      <w:pPr>
        <w:spacing w:before="40" w:after="80" w:line="276" w:lineRule="auto"/>
      </w:pPr>
      <w:r>
        <w:rPr>
          <w:rFonts w:ascii="Calibri" w:hAnsi="Calibri"/>
          <w:b/>
          <w:i w:val="0"/>
          <w:sz w:val="21"/>
        </w:rPr>
        <w:t>Dr. Shubham Sharma</w:t>
      </w:r>
      <w:r>
        <w:rPr>
          <w:rFonts w:ascii="Calibri" w:hAnsi="Calibri"/>
          <w:b w:val="0"/>
          <w:i w:val="0"/>
          <w:sz w:val="21"/>
        </w:rPr>
        <w:t xml:space="preserve"> </w:t>
      </w:r>
      <w:r>
        <w:rPr>
          <w:rFonts w:ascii="Calibri" w:hAnsi="Calibri"/>
          <w:b w:val="0"/>
          <w:i/>
          <w:sz w:val="21"/>
        </w:rPr>
        <w:t>(Corresponding Author)</w:t>
      </w:r>
      <w:r>
        <w:rPr>
          <w:rFonts w:ascii="Calibri" w:hAnsi="Calibri"/>
          <w:b w:val="0"/>
          <w:i w:val="0"/>
          <w:sz w:val="21"/>
        </w:rPr>
        <w:t xml:space="preserve">  </w:t>
      </w:r>
    </w:p>
    <w:p>
      <w:pPr>
        <w:spacing w:before="40" w:after="80" w:line="276" w:lineRule="auto"/>
      </w:pPr>
      <w:r>
        <w:rPr>
          <w:rFonts w:ascii="Calibri" w:hAnsi="Calibri"/>
          <w:b/>
          <w:i w:val="0"/>
          <w:sz w:val="21"/>
        </w:rPr>
        <w:t>Shruti Tiwari</w:t>
      </w:r>
      <w:r>
        <w:rPr>
          <w:rFonts w:ascii="Calibri" w:hAnsi="Calibri"/>
          <w:b w:val="0"/>
          <w:i w:val="0"/>
          <w:sz w:val="21"/>
        </w:rPr>
        <w:t xml:space="preserve">  </w:t>
      </w:r>
    </w:p>
    <w:p>
      <w:pPr>
        <w:spacing w:before="40" w:after="80" w:line="276" w:lineRule="auto"/>
      </w:pPr>
      <w:r>
        <w:rPr>
          <w:rFonts w:ascii="Calibri" w:hAnsi="Calibri"/>
          <w:b w:val="0"/>
          <w:i w:val="0"/>
          <w:sz w:val="21"/>
        </w:rPr>
        <w:t xml:space="preserve">School of Studies in Environmental Science, Pt. Ravishankar Shukla University, Raipur, India  </w:t>
      </w:r>
    </w:p>
    <w:p>
      <w:pPr>
        <w:spacing w:before="40" w:after="80" w:line="276" w:lineRule="auto"/>
      </w:pPr>
      <w:r>
        <w:rPr>
          <w:rFonts w:ascii="Calibri" w:hAnsi="Calibri"/>
          <w:b w:val="0"/>
          <w:i w:val="0"/>
          <w:sz w:val="21"/>
        </w:rPr>
        <w:t xml:space="preserve">Email: </w:t>
      </w:r>
      <w:r>
        <w:rPr>
          <w:rFonts w:ascii="Consolas" w:hAnsi="Consolas"/>
          <w:color w:val="8B0000"/>
          <w:sz w:val="19"/>
        </w:rPr>
        <w:t>ss677997@gmail.com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